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</w:t>
            </w:r>
            <w:r w:rsidR="00B76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76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B76A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3079</w:t>
            </w:r>
            <w:bookmarkStart w:id="0" w:name="_GoBack"/>
            <w:bookmarkEnd w:id="0"/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Підтримання у постійній готовності системи управління підрозділів територіальноїоборони</w:t>
            </w:r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 навичок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підготовки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підрозділами</w:t>
            </w:r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 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 складу підрозді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 територіальної оборони для 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технічне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заходів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закупівлі, 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ачі, зберігання (за 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тю) та 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 предметів матеріально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 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 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територіальної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підтримання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 пунктів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підрозділів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60D58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B60D58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B60D58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1 500,0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</w:rPr>
              <w:t>Забезпечення життєдіяль-ності підрозділів територіальної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310,0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62AA1" w:rsidRPr="002C768C" w:rsidTr="00362AA1">
        <w:trPr>
          <w:trHeight w:val="237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  <w:vMerge w:val="restart"/>
          </w:tcPr>
          <w:p w:rsidR="00362AA1" w:rsidRDefault="00362AA1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життєдіяль-ності підрозділів територіальної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B60D58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7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62AA1" w:rsidRP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C2231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52707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960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D8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362AA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C04053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984E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07C0"/>
    <w:rsid w:val="00954045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13FC"/>
    <w:rsid w:val="00B74BAB"/>
    <w:rsid w:val="00B75585"/>
    <w:rsid w:val="00B761D7"/>
    <w:rsid w:val="00B76A4C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96CEF"/>
  <w15:docId w15:val="{F0461015-DF34-4A9C-BF80-986F8F1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c">
    <w:name w:val="Strong"/>
    <w:uiPriority w:val="22"/>
    <w:qFormat/>
    <w:locked/>
    <w:rsid w:val="0012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D459-BFF1-43ED-9D62-D6CDFFF5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344</cp:revision>
  <cp:lastPrinted>2022-07-22T11:47:00Z</cp:lastPrinted>
  <dcterms:created xsi:type="dcterms:W3CDTF">2018-02-05T09:24:00Z</dcterms:created>
  <dcterms:modified xsi:type="dcterms:W3CDTF">2026-01-21T09:14:00Z</dcterms:modified>
</cp:coreProperties>
</file>