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8" w:type="dxa"/>
        <w:jc w:val="right"/>
        <w:tblLook w:val="0000" w:firstRow="0" w:lastRow="0" w:firstColumn="0" w:lastColumn="0" w:noHBand="0" w:noVBand="0"/>
      </w:tblPr>
      <w:tblGrid>
        <w:gridCol w:w="4548"/>
      </w:tblGrid>
      <w:tr w:rsidR="00FF223E" w:rsidRPr="00FF223E" w:rsidTr="003A2260">
        <w:trPr>
          <w:trHeight w:val="367"/>
          <w:jc w:val="right"/>
        </w:trPr>
        <w:tc>
          <w:tcPr>
            <w:tcW w:w="4548" w:type="dxa"/>
          </w:tcPr>
          <w:p w:rsidR="003A2260" w:rsidRPr="00FF223E" w:rsidRDefault="003A2260" w:rsidP="003A2260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FF223E">
              <w:rPr>
                <w:sz w:val="24"/>
                <w:szCs w:val="24"/>
              </w:rPr>
              <w:t xml:space="preserve">Додаток 2 </w:t>
            </w:r>
          </w:p>
          <w:p w:rsidR="003A2260" w:rsidRPr="00FF223E" w:rsidRDefault="003A2260" w:rsidP="003A2260">
            <w:pPr>
              <w:pStyle w:val="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FF223E">
              <w:rPr>
                <w:sz w:val="24"/>
                <w:szCs w:val="24"/>
              </w:rPr>
              <w:t xml:space="preserve">до  </w:t>
            </w:r>
            <w:r w:rsidR="00D96BF2">
              <w:rPr>
                <w:sz w:val="24"/>
                <w:szCs w:val="24"/>
                <w:lang w:val="uk-UA"/>
              </w:rPr>
              <w:t>К</w:t>
            </w:r>
            <w:r w:rsidRPr="00FF223E">
              <w:rPr>
                <w:sz w:val="24"/>
                <w:szCs w:val="24"/>
                <w:lang w:val="uk-UA"/>
              </w:rPr>
              <w:t>омплексної програми профілактики та протидії злочинності</w:t>
            </w:r>
          </w:p>
          <w:p w:rsidR="003A2260" w:rsidRPr="00FF223E" w:rsidRDefault="003A2260" w:rsidP="003A2260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F223E">
              <w:rPr>
                <w:b/>
                <w:bCs/>
                <w:sz w:val="24"/>
                <w:szCs w:val="24"/>
              </w:rPr>
              <w:t>на території м</w:t>
            </w:r>
            <w:r w:rsidR="00FF223E" w:rsidRPr="00FF223E">
              <w:rPr>
                <w:b/>
                <w:bCs/>
                <w:sz w:val="24"/>
                <w:szCs w:val="24"/>
              </w:rPr>
              <w:t xml:space="preserve">. </w:t>
            </w:r>
            <w:r w:rsidRPr="00FF223E">
              <w:rPr>
                <w:b/>
                <w:bCs/>
                <w:sz w:val="24"/>
                <w:szCs w:val="24"/>
              </w:rPr>
              <w:t xml:space="preserve">Лозова </w:t>
            </w:r>
          </w:p>
          <w:p w:rsidR="003A2260" w:rsidRPr="00FF223E" w:rsidRDefault="003A2260" w:rsidP="003A2260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FF223E">
              <w:rPr>
                <w:b/>
                <w:bCs/>
                <w:sz w:val="24"/>
                <w:szCs w:val="24"/>
              </w:rPr>
              <w:t>на 2017-2019 роки</w:t>
            </w:r>
          </w:p>
          <w:p w:rsidR="003A2260" w:rsidRPr="00FF223E" w:rsidRDefault="003A2260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0B4D60" w:rsidRPr="00FF223E" w:rsidRDefault="000B4D60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0B4D60" w:rsidRPr="00FF223E" w:rsidRDefault="00D96BF2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B4D60"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0B4D60" w:rsidRPr="00FF223E" w:rsidRDefault="000B4D60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м</w:t>
      </w:r>
      <w:r w:rsidR="00FF223E" w:rsidRPr="00FF223E">
        <w:rPr>
          <w:b/>
          <w:bCs/>
          <w:sz w:val="28"/>
          <w:szCs w:val="28"/>
        </w:rPr>
        <w:t>.</w:t>
      </w:r>
      <w:r w:rsidRPr="00FF223E">
        <w:rPr>
          <w:b/>
          <w:bCs/>
          <w:sz w:val="28"/>
          <w:szCs w:val="28"/>
        </w:rPr>
        <w:t xml:space="preserve"> Лозова на 2017-2019 роки.</w:t>
      </w:r>
    </w:p>
    <w:p w:rsidR="000B4D60" w:rsidRPr="00FF223E" w:rsidRDefault="000B4D60" w:rsidP="000B4D60">
      <w:pPr>
        <w:jc w:val="center"/>
        <w:rPr>
          <w:sz w:val="28"/>
          <w:szCs w:val="28"/>
        </w:rPr>
      </w:pPr>
    </w:p>
    <w:tbl>
      <w:tblPr>
        <w:tblStyle w:val="a3"/>
        <w:tblW w:w="14288" w:type="dxa"/>
        <w:tblInd w:w="704" w:type="dxa"/>
        <w:tblLayout w:type="fixed"/>
        <w:tblLook w:val="00A0" w:firstRow="1" w:lastRow="0" w:firstColumn="1" w:lastColumn="0" w:noHBand="0" w:noVBand="0"/>
      </w:tblPr>
      <w:tblGrid>
        <w:gridCol w:w="680"/>
        <w:gridCol w:w="2268"/>
        <w:gridCol w:w="1701"/>
        <w:gridCol w:w="1559"/>
        <w:gridCol w:w="2835"/>
        <w:gridCol w:w="1276"/>
        <w:gridCol w:w="1418"/>
        <w:gridCol w:w="2551"/>
      </w:tblGrid>
      <w:tr w:rsidR="00FF223E" w:rsidRPr="00FF223E" w:rsidTr="008E2B15">
        <w:trPr>
          <w:trHeight w:val="2611"/>
        </w:trPr>
        <w:tc>
          <w:tcPr>
            <w:tcW w:w="680" w:type="dxa"/>
          </w:tcPr>
          <w:p w:rsidR="000B4D60" w:rsidRPr="00FF223E" w:rsidRDefault="000B4D60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FF223E">
              <w:rPr>
                <w:b/>
                <w:sz w:val="24"/>
                <w:szCs w:val="24"/>
              </w:rPr>
              <w:t>N</w:t>
            </w:r>
            <w:r w:rsidRPr="00FF223E">
              <w:rPr>
                <w:b/>
                <w:sz w:val="24"/>
                <w:szCs w:val="24"/>
                <w:lang w:val="ru-RU"/>
              </w:rPr>
              <w:br/>
            </w:r>
            <w:r w:rsidRPr="00FF223E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2268" w:type="dxa"/>
          </w:tcPr>
          <w:p w:rsidR="000B4D60" w:rsidRPr="00FF223E" w:rsidRDefault="000B4D60" w:rsidP="00245C09">
            <w:pPr>
              <w:jc w:val="center"/>
              <w:rPr>
                <w:b/>
                <w:sz w:val="24"/>
                <w:szCs w:val="24"/>
              </w:rPr>
            </w:pPr>
            <w:r w:rsidRPr="00FF223E">
              <w:rPr>
                <w:b/>
                <w:sz w:val="24"/>
                <w:szCs w:val="24"/>
              </w:rPr>
              <w:t xml:space="preserve">Назва </w:t>
            </w:r>
          </w:p>
          <w:p w:rsidR="00E90896" w:rsidRPr="00FF223E" w:rsidRDefault="009E4C15" w:rsidP="00C33D53">
            <w:pPr>
              <w:jc w:val="center"/>
              <w:rPr>
                <w:b/>
                <w:sz w:val="24"/>
                <w:szCs w:val="24"/>
              </w:rPr>
            </w:pPr>
            <w:r w:rsidRPr="00FF223E">
              <w:rPr>
                <w:b/>
                <w:sz w:val="24"/>
                <w:szCs w:val="24"/>
              </w:rPr>
              <w:t>н</w:t>
            </w:r>
            <w:r w:rsidR="00C33D53">
              <w:rPr>
                <w:b/>
                <w:sz w:val="24"/>
                <w:szCs w:val="24"/>
              </w:rPr>
              <w:t>апряму діяльнос</w:t>
            </w:r>
            <w:r w:rsidR="00A07767">
              <w:rPr>
                <w:b/>
                <w:sz w:val="24"/>
                <w:szCs w:val="24"/>
              </w:rPr>
              <w:t>ті (пріо</w:t>
            </w:r>
            <w:r w:rsidR="000B4D60" w:rsidRPr="00FF223E">
              <w:rPr>
                <w:b/>
                <w:sz w:val="24"/>
                <w:szCs w:val="24"/>
              </w:rPr>
              <w:t xml:space="preserve">ритетні </w:t>
            </w:r>
          </w:p>
          <w:p w:rsidR="000B4D60" w:rsidRPr="00FF223E" w:rsidRDefault="000B4D60" w:rsidP="00E90896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b/>
                <w:sz w:val="24"/>
                <w:szCs w:val="24"/>
              </w:rPr>
              <w:t>завдання) </w:t>
            </w:r>
          </w:p>
        </w:tc>
        <w:tc>
          <w:tcPr>
            <w:tcW w:w="1701" w:type="dxa"/>
          </w:tcPr>
          <w:p w:rsidR="000B4D60" w:rsidRPr="00FF223E" w:rsidRDefault="000B4D60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559" w:type="dxa"/>
          </w:tcPr>
          <w:p w:rsidR="000B4D60" w:rsidRPr="00FF223E" w:rsidRDefault="000B4D60" w:rsidP="00E90896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FF223E">
              <w:rPr>
                <w:b/>
                <w:sz w:val="24"/>
                <w:szCs w:val="24"/>
              </w:rPr>
              <w:t>Строк виконання заходу </w:t>
            </w:r>
          </w:p>
        </w:tc>
        <w:tc>
          <w:tcPr>
            <w:tcW w:w="2835" w:type="dxa"/>
          </w:tcPr>
          <w:p w:rsidR="000B4D60" w:rsidRPr="00FF223E" w:rsidRDefault="000B4D60" w:rsidP="00E90896">
            <w:pPr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276" w:type="dxa"/>
          </w:tcPr>
          <w:p w:rsidR="000B4D60" w:rsidRPr="00FF223E" w:rsidRDefault="000B4D60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b/>
                <w:sz w:val="24"/>
                <w:szCs w:val="24"/>
              </w:rPr>
              <w:t xml:space="preserve">Джерела </w:t>
            </w:r>
            <w:proofErr w:type="spellStart"/>
            <w:r w:rsidRPr="00FF223E">
              <w:rPr>
                <w:b/>
                <w:sz w:val="24"/>
                <w:szCs w:val="24"/>
              </w:rPr>
              <w:t>фінансу</w:t>
            </w:r>
            <w:proofErr w:type="spellEnd"/>
            <w:r w:rsidRPr="00FF223E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FF223E">
              <w:rPr>
                <w:b/>
                <w:sz w:val="24"/>
                <w:szCs w:val="24"/>
              </w:rPr>
              <w:t>вання</w:t>
            </w:r>
            <w:proofErr w:type="spellEnd"/>
            <w:r w:rsidRPr="00FF223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0B4D60" w:rsidRPr="00FF223E" w:rsidRDefault="000B4D60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551" w:type="dxa"/>
          </w:tcPr>
          <w:p w:rsidR="000B4D60" w:rsidRPr="00FF223E" w:rsidRDefault="000B4D60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C33D53" w:rsidRPr="00FF223E" w:rsidTr="008E2B15">
        <w:trPr>
          <w:trHeight w:val="1394"/>
        </w:trPr>
        <w:tc>
          <w:tcPr>
            <w:tcW w:w="680" w:type="dxa"/>
            <w:vMerge w:val="restart"/>
          </w:tcPr>
          <w:p w:rsidR="00C33D53" w:rsidRPr="00FF223E" w:rsidRDefault="008E2B15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33D53" w:rsidRPr="00FF223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C33D53" w:rsidRDefault="00C33D53" w:rsidP="00245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та встановлення у місцях найбільшого перебування відвідувачів суду </w:t>
            </w:r>
            <w:r>
              <w:rPr>
                <w:sz w:val="24"/>
                <w:szCs w:val="24"/>
              </w:rPr>
              <w:lastRenderedPageBreak/>
              <w:t>інформаційних моніторів ( пристроїв виведення зображення (</w:t>
            </w:r>
            <w:r>
              <w:rPr>
                <w:sz w:val="24"/>
                <w:szCs w:val="24"/>
                <w:lang w:val="en-US"/>
              </w:rPr>
              <w:t>TV</w:t>
            </w:r>
            <w:r>
              <w:rPr>
                <w:sz w:val="24"/>
                <w:szCs w:val="24"/>
              </w:rPr>
              <w:t>панелей)) для виведення на них інформації</w:t>
            </w:r>
          </w:p>
          <w:p w:rsidR="00C33D53" w:rsidRPr="00C33D53" w:rsidRDefault="00C33D53" w:rsidP="00245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(спеціальний фонд)</w:t>
            </w:r>
          </w:p>
        </w:tc>
        <w:tc>
          <w:tcPr>
            <w:tcW w:w="1701" w:type="dxa"/>
            <w:vMerge w:val="restart"/>
          </w:tcPr>
          <w:p w:rsidR="00A07767" w:rsidRPr="00A07767" w:rsidRDefault="00A07767" w:rsidP="00A07767">
            <w:pPr>
              <w:rPr>
                <w:sz w:val="24"/>
                <w:szCs w:val="24"/>
              </w:rPr>
            </w:pPr>
            <w:r w:rsidRPr="00A07767">
              <w:rPr>
                <w:sz w:val="24"/>
                <w:szCs w:val="24"/>
              </w:rPr>
              <w:lastRenderedPageBreak/>
              <w:t xml:space="preserve">Придбання та встановлення у місцях найбільшого перебування </w:t>
            </w:r>
            <w:r w:rsidRPr="00A07767">
              <w:rPr>
                <w:sz w:val="24"/>
                <w:szCs w:val="24"/>
              </w:rPr>
              <w:lastRenderedPageBreak/>
              <w:t>відвідувачів суду інформацій</w:t>
            </w:r>
            <w:r>
              <w:rPr>
                <w:sz w:val="24"/>
                <w:szCs w:val="24"/>
              </w:rPr>
              <w:t>-</w:t>
            </w:r>
            <w:r w:rsidRPr="00A07767">
              <w:rPr>
                <w:sz w:val="24"/>
                <w:szCs w:val="24"/>
              </w:rPr>
              <w:t>них моніторів ( пристроїв виведення зображення (</w:t>
            </w:r>
            <w:proofErr w:type="spellStart"/>
            <w:r w:rsidRPr="00A07767">
              <w:rPr>
                <w:sz w:val="24"/>
                <w:szCs w:val="24"/>
              </w:rPr>
              <w:t>TVпанелей</w:t>
            </w:r>
            <w:proofErr w:type="spellEnd"/>
            <w:r w:rsidRPr="00A07767">
              <w:rPr>
                <w:sz w:val="24"/>
                <w:szCs w:val="24"/>
              </w:rPr>
              <w:t>)) для виведення на них інформації</w:t>
            </w:r>
          </w:p>
          <w:p w:rsidR="00C33D53" w:rsidRPr="00FF223E" w:rsidRDefault="00A07767" w:rsidP="00A07767">
            <w:pPr>
              <w:rPr>
                <w:sz w:val="24"/>
                <w:szCs w:val="24"/>
              </w:rPr>
            </w:pPr>
            <w:r w:rsidRPr="00A0776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TV</w:t>
            </w:r>
            <w:r>
              <w:rPr>
                <w:sz w:val="24"/>
                <w:szCs w:val="24"/>
              </w:rPr>
              <w:t xml:space="preserve">панель с </w:t>
            </w:r>
            <w:r>
              <w:rPr>
                <w:sz w:val="24"/>
                <w:szCs w:val="24"/>
                <w:lang w:val="en-US"/>
              </w:rPr>
              <w:t>HDMI</w:t>
            </w:r>
            <w:r>
              <w:rPr>
                <w:sz w:val="24"/>
                <w:szCs w:val="24"/>
              </w:rPr>
              <w:t xml:space="preserve"> входом, </w:t>
            </w:r>
            <w:r>
              <w:rPr>
                <w:sz w:val="24"/>
                <w:szCs w:val="24"/>
                <w:lang w:val="en-US"/>
              </w:rPr>
              <w:t>HDMI</w:t>
            </w:r>
            <w:r w:rsidRPr="00A0776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кабелі, </w:t>
            </w:r>
            <w:proofErr w:type="spellStart"/>
            <w:r>
              <w:rPr>
                <w:sz w:val="24"/>
                <w:szCs w:val="24"/>
              </w:rPr>
              <w:t>відеокарти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  <w:lang w:val="en-US"/>
              </w:rPr>
              <w:t>HDMI</w:t>
            </w:r>
            <w:r w:rsidRPr="00A0776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виходом на пасивний </w:t>
            </w:r>
            <w:proofErr w:type="spellStart"/>
            <w:r>
              <w:rPr>
                <w:sz w:val="24"/>
                <w:szCs w:val="24"/>
              </w:rPr>
              <w:t>сплітер</w:t>
            </w:r>
            <w:proofErr w:type="spellEnd"/>
            <w:r w:rsidRPr="00A07767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</w:tcPr>
          <w:p w:rsidR="00C33D53" w:rsidRPr="00FF223E" w:rsidRDefault="00C33D53" w:rsidP="007D52F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en-US"/>
              </w:rPr>
            </w:pPr>
            <w:r w:rsidRPr="00FF223E">
              <w:rPr>
                <w:sz w:val="24"/>
                <w:szCs w:val="24"/>
                <w:lang w:val="en-US"/>
              </w:rPr>
              <w:lastRenderedPageBreak/>
              <w:t>2019</w:t>
            </w: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</w:rPr>
              <w:lastRenderedPageBreak/>
              <w:t>Фінансове управління Лозівської міської ради Харківс</w:t>
            </w:r>
            <w:r w:rsidR="00A07767">
              <w:rPr>
                <w:sz w:val="24"/>
                <w:szCs w:val="24"/>
              </w:rPr>
              <w:t>ької області (в частині міжбюдж</w:t>
            </w:r>
            <w:r w:rsidRPr="00FF223E">
              <w:rPr>
                <w:sz w:val="24"/>
                <w:szCs w:val="24"/>
              </w:rPr>
              <w:t>етних трансфертів)</w:t>
            </w: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FF223E">
              <w:rPr>
                <w:sz w:val="24"/>
                <w:szCs w:val="24"/>
              </w:rPr>
              <w:lastRenderedPageBreak/>
              <w:t xml:space="preserve">Лозівський </w:t>
            </w:r>
            <w:proofErr w:type="spellStart"/>
            <w:r w:rsidRPr="00FF223E">
              <w:rPr>
                <w:sz w:val="24"/>
                <w:szCs w:val="24"/>
              </w:rPr>
              <w:t>міськрайонний</w:t>
            </w:r>
            <w:proofErr w:type="spellEnd"/>
            <w:r w:rsidRPr="00FF223E">
              <w:rPr>
                <w:sz w:val="24"/>
                <w:szCs w:val="24"/>
              </w:rPr>
              <w:t xml:space="preserve"> суд Харківської області, територіальне управління Державної судової адміністрації України у Харківській області</w:t>
            </w:r>
          </w:p>
        </w:tc>
        <w:tc>
          <w:tcPr>
            <w:tcW w:w="1276" w:type="dxa"/>
            <w:vMerge w:val="restart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sz w:val="24"/>
                <w:szCs w:val="24"/>
              </w:rPr>
              <w:lastRenderedPageBreak/>
              <w:t>Міський бюджет</w:t>
            </w:r>
          </w:p>
        </w:tc>
        <w:tc>
          <w:tcPr>
            <w:tcW w:w="1418" w:type="dxa"/>
          </w:tcPr>
          <w:p w:rsidR="00C33D53" w:rsidRPr="00B610FF" w:rsidRDefault="00C33D53" w:rsidP="006A41C5">
            <w:pPr>
              <w:tabs>
                <w:tab w:val="center" w:pos="8127"/>
                <w:tab w:val="left" w:pos="10180"/>
              </w:tabs>
              <w:jc w:val="center"/>
              <w:rPr>
                <w:color w:val="FF0000"/>
                <w:sz w:val="24"/>
                <w:szCs w:val="24"/>
              </w:rPr>
            </w:pPr>
            <w:r w:rsidRPr="00FA0AD1">
              <w:rPr>
                <w:sz w:val="24"/>
                <w:szCs w:val="24"/>
              </w:rPr>
              <w:t>100</w:t>
            </w:r>
            <w:r w:rsidR="00FA0AD1">
              <w:rPr>
                <w:sz w:val="24"/>
                <w:szCs w:val="24"/>
              </w:rPr>
              <w:t> </w:t>
            </w:r>
            <w:r w:rsidR="006A41C5">
              <w:rPr>
                <w:sz w:val="24"/>
                <w:szCs w:val="24"/>
              </w:rPr>
              <w:t>,</w:t>
            </w:r>
            <w:r w:rsidRPr="00FA0AD1">
              <w:rPr>
                <w:sz w:val="24"/>
                <w:szCs w:val="24"/>
              </w:rPr>
              <w:t>00</w:t>
            </w:r>
          </w:p>
        </w:tc>
        <w:tc>
          <w:tcPr>
            <w:tcW w:w="2551" w:type="dxa"/>
            <w:vMerge w:val="restart"/>
          </w:tcPr>
          <w:p w:rsidR="00C33D53" w:rsidRPr="00FF223E" w:rsidRDefault="00C33D53" w:rsidP="00A07767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FF223E">
              <w:rPr>
                <w:sz w:val="24"/>
                <w:szCs w:val="24"/>
              </w:rPr>
              <w:t xml:space="preserve">Створення передумов для швидкого та неупередженого судочинства, максимального </w:t>
            </w:r>
            <w:r w:rsidRPr="00FF223E">
              <w:rPr>
                <w:sz w:val="24"/>
                <w:szCs w:val="24"/>
              </w:rPr>
              <w:lastRenderedPageBreak/>
              <w:t xml:space="preserve">доступу громадян             (в тому числі з </w:t>
            </w:r>
            <w:r w:rsidR="00A07767">
              <w:rPr>
                <w:sz w:val="24"/>
                <w:szCs w:val="24"/>
              </w:rPr>
              <w:t>інвалідністю</w:t>
            </w:r>
            <w:r w:rsidRPr="00FF223E">
              <w:rPr>
                <w:sz w:val="24"/>
                <w:szCs w:val="24"/>
              </w:rPr>
              <w:t xml:space="preserve">) до </w:t>
            </w:r>
            <w:r w:rsidR="00A07767">
              <w:rPr>
                <w:sz w:val="24"/>
                <w:szCs w:val="24"/>
              </w:rPr>
              <w:t>правосуддя,</w:t>
            </w:r>
            <w:r w:rsidR="00DB1635">
              <w:rPr>
                <w:sz w:val="24"/>
                <w:szCs w:val="24"/>
              </w:rPr>
              <w:t xml:space="preserve"> </w:t>
            </w:r>
            <w:r w:rsidR="00A07767">
              <w:rPr>
                <w:sz w:val="24"/>
                <w:szCs w:val="24"/>
              </w:rPr>
              <w:t>зручного та простого доступу до інформації про час та місце розгляду справи, при розгляді резонансної справи</w:t>
            </w:r>
            <w:r w:rsidR="00DB1635">
              <w:rPr>
                <w:sz w:val="24"/>
                <w:szCs w:val="24"/>
              </w:rPr>
              <w:t xml:space="preserve"> трансляції її онлайн для відвідувачів суду, виведення на монітори загальної інформації про судову реформу, судову системи та іншу корисну інформацію для громадян міста та району, які перебувають у суді</w:t>
            </w:r>
            <w:r w:rsidRPr="00FF223E">
              <w:rPr>
                <w:sz w:val="24"/>
                <w:szCs w:val="24"/>
              </w:rPr>
              <w:t xml:space="preserve"> </w:t>
            </w:r>
          </w:p>
        </w:tc>
      </w:tr>
      <w:tr w:rsidR="00C33D53" w:rsidRPr="00FF223E" w:rsidTr="008E2B15">
        <w:trPr>
          <w:trHeight w:val="2760"/>
        </w:trPr>
        <w:tc>
          <w:tcPr>
            <w:tcW w:w="680" w:type="dxa"/>
            <w:vMerge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3D53" w:rsidRPr="00FF223E" w:rsidRDefault="00C33D53" w:rsidP="00245C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3D53" w:rsidRPr="00FF223E" w:rsidRDefault="00C33D53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33D53" w:rsidRPr="00FF223E" w:rsidRDefault="00C33D53" w:rsidP="0048156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33D53" w:rsidRPr="00FF223E" w:rsidTr="008E2B15">
        <w:trPr>
          <w:trHeight w:val="3588"/>
        </w:trPr>
        <w:tc>
          <w:tcPr>
            <w:tcW w:w="680" w:type="dxa"/>
          </w:tcPr>
          <w:p w:rsidR="00C33D53" w:rsidRPr="00FF223E" w:rsidRDefault="008E2B15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C33D53" w:rsidRPr="00FF223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33D53" w:rsidRPr="00FF223E" w:rsidRDefault="00C33D53" w:rsidP="00DB1635">
            <w:pPr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</w:rPr>
              <w:t xml:space="preserve">Встановлення </w:t>
            </w:r>
            <w:r w:rsidR="00DB1635">
              <w:rPr>
                <w:sz w:val="24"/>
                <w:szCs w:val="24"/>
              </w:rPr>
              <w:t>металопластикових загороджень у будівлі суду для перебування присяжних засідателів (спеціальний фонд)</w:t>
            </w:r>
          </w:p>
        </w:tc>
        <w:tc>
          <w:tcPr>
            <w:tcW w:w="1701" w:type="dxa"/>
          </w:tcPr>
          <w:p w:rsidR="00C33D53" w:rsidRPr="00FF223E" w:rsidRDefault="00DB1635" w:rsidP="00DB1635">
            <w:pPr>
              <w:rPr>
                <w:sz w:val="24"/>
                <w:szCs w:val="24"/>
              </w:rPr>
            </w:pPr>
            <w:r w:rsidRPr="00DB1635">
              <w:rPr>
                <w:sz w:val="24"/>
                <w:szCs w:val="24"/>
              </w:rPr>
              <w:t xml:space="preserve">Встановлення металопластикових загороджень у будівлі суду для перебування присяжних засідателів </w:t>
            </w:r>
          </w:p>
        </w:tc>
        <w:tc>
          <w:tcPr>
            <w:tcW w:w="1559" w:type="dxa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  <w:lang w:val="en-US"/>
              </w:rPr>
              <w:t>2019</w:t>
            </w:r>
          </w:p>
        </w:tc>
        <w:tc>
          <w:tcPr>
            <w:tcW w:w="2835" w:type="dxa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</w:rPr>
              <w:t>Фінансове управління Лозівської міської ради Харківс</w:t>
            </w:r>
            <w:r w:rsidR="00DB1635">
              <w:rPr>
                <w:sz w:val="24"/>
                <w:szCs w:val="24"/>
              </w:rPr>
              <w:t>ької області (в частині міжбюдж</w:t>
            </w:r>
            <w:r w:rsidRPr="00FF223E">
              <w:rPr>
                <w:sz w:val="24"/>
                <w:szCs w:val="24"/>
              </w:rPr>
              <w:t>етних трансфертів)</w:t>
            </w: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FF223E">
              <w:rPr>
                <w:sz w:val="24"/>
                <w:szCs w:val="24"/>
              </w:rPr>
              <w:t xml:space="preserve">Лозівський </w:t>
            </w:r>
            <w:proofErr w:type="spellStart"/>
            <w:r w:rsidRPr="00FF223E">
              <w:rPr>
                <w:sz w:val="24"/>
                <w:szCs w:val="24"/>
              </w:rPr>
              <w:t>міськрайонний</w:t>
            </w:r>
            <w:proofErr w:type="spellEnd"/>
            <w:r w:rsidRPr="00FF223E">
              <w:rPr>
                <w:sz w:val="24"/>
                <w:szCs w:val="24"/>
              </w:rPr>
              <w:t xml:space="preserve"> суд Харківської області, територіальне управління Державної судової адміністрації України у Харківській області</w:t>
            </w:r>
          </w:p>
        </w:tc>
        <w:tc>
          <w:tcPr>
            <w:tcW w:w="1276" w:type="dxa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C33D53" w:rsidRPr="00B610FF" w:rsidRDefault="00DB1635" w:rsidP="006A41C5">
            <w:pPr>
              <w:jc w:val="center"/>
              <w:rPr>
                <w:sz w:val="24"/>
                <w:szCs w:val="24"/>
                <w:highlight w:val="yellow"/>
              </w:rPr>
            </w:pPr>
            <w:r w:rsidRPr="00FA0AD1">
              <w:rPr>
                <w:sz w:val="24"/>
                <w:szCs w:val="24"/>
              </w:rPr>
              <w:t>100</w:t>
            </w:r>
            <w:r w:rsidR="006A41C5">
              <w:rPr>
                <w:sz w:val="24"/>
                <w:szCs w:val="24"/>
              </w:rPr>
              <w:t>,</w:t>
            </w:r>
            <w:r w:rsidRPr="00FA0AD1">
              <w:rPr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:rsidR="00C33D53" w:rsidRPr="00FF223E" w:rsidRDefault="00DB1635" w:rsidP="0048156B">
            <w:pPr>
              <w:tabs>
                <w:tab w:val="center" w:pos="8127"/>
                <w:tab w:val="left" w:pos="10180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передумов для неупередженого судочинства, комфортного, безпечного та зручного перебування у суді присяжних засідателів</w:t>
            </w:r>
          </w:p>
        </w:tc>
      </w:tr>
      <w:tr w:rsidR="00C33D53" w:rsidRPr="00FF223E" w:rsidTr="008E2B15">
        <w:trPr>
          <w:trHeight w:val="3538"/>
        </w:trPr>
        <w:tc>
          <w:tcPr>
            <w:tcW w:w="680" w:type="dxa"/>
          </w:tcPr>
          <w:p w:rsidR="00C33D53" w:rsidRPr="00FF223E" w:rsidRDefault="008E2B15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C33D53" w:rsidRPr="00FF223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33D53" w:rsidRPr="00FF223E" w:rsidRDefault="00DB1635" w:rsidP="00245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Поточний </w:t>
            </w:r>
            <w:r w:rsidR="00984183">
              <w:rPr>
                <w:sz w:val="24"/>
                <w:szCs w:val="24"/>
              </w:rPr>
              <w:t>ремонт кімнат загального користу</w:t>
            </w:r>
            <w:r>
              <w:rPr>
                <w:sz w:val="24"/>
                <w:szCs w:val="24"/>
              </w:rPr>
              <w:t xml:space="preserve">вання </w:t>
            </w:r>
            <w:r w:rsidR="00984183">
              <w:rPr>
                <w:sz w:val="24"/>
                <w:szCs w:val="24"/>
              </w:rPr>
              <w:t>( кімнат гігієни) встановлення загороджень (кабінок)</w:t>
            </w:r>
            <w:r w:rsidR="00C33D53" w:rsidRPr="00FF223E">
              <w:rPr>
                <w:sz w:val="24"/>
                <w:szCs w:val="24"/>
              </w:rPr>
              <w:t xml:space="preserve"> (спеціальний фонд)</w:t>
            </w:r>
          </w:p>
        </w:tc>
        <w:tc>
          <w:tcPr>
            <w:tcW w:w="1701" w:type="dxa"/>
          </w:tcPr>
          <w:p w:rsidR="00C33D53" w:rsidRPr="00FF223E" w:rsidRDefault="00984183" w:rsidP="00245C09">
            <w:pPr>
              <w:rPr>
                <w:sz w:val="24"/>
                <w:szCs w:val="24"/>
              </w:rPr>
            </w:pPr>
            <w:r w:rsidRPr="00984183">
              <w:rPr>
                <w:sz w:val="24"/>
                <w:szCs w:val="24"/>
              </w:rPr>
              <w:t>Поточний ремонт кімнат загального користування ( кімнат гігієни)</w:t>
            </w:r>
          </w:p>
        </w:tc>
        <w:tc>
          <w:tcPr>
            <w:tcW w:w="1559" w:type="dxa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en-US"/>
              </w:rPr>
            </w:pPr>
            <w:r w:rsidRPr="00FF223E">
              <w:rPr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</w:rPr>
              <w:t>Фінансове управління Лозівської міської ради Харківс</w:t>
            </w:r>
            <w:r w:rsidR="00984183">
              <w:rPr>
                <w:sz w:val="24"/>
                <w:szCs w:val="24"/>
              </w:rPr>
              <w:t>ької області (в частині міжбюдж</w:t>
            </w:r>
            <w:r w:rsidRPr="00FF223E">
              <w:rPr>
                <w:sz w:val="24"/>
                <w:szCs w:val="24"/>
              </w:rPr>
              <w:t>етних трансфертів)</w:t>
            </w: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</w:rPr>
              <w:t xml:space="preserve">Лозівський </w:t>
            </w:r>
            <w:proofErr w:type="spellStart"/>
            <w:r w:rsidRPr="00FF223E">
              <w:rPr>
                <w:sz w:val="24"/>
                <w:szCs w:val="24"/>
              </w:rPr>
              <w:t>міськрайонний</w:t>
            </w:r>
            <w:proofErr w:type="spellEnd"/>
            <w:r w:rsidRPr="00FF223E">
              <w:rPr>
                <w:sz w:val="24"/>
                <w:szCs w:val="24"/>
              </w:rPr>
              <w:t xml:space="preserve"> суд Харківської області, територіальне управління Державної судової адміністрації України у Харківській області</w:t>
            </w:r>
          </w:p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33D53" w:rsidRPr="00FF223E" w:rsidRDefault="00C33D53" w:rsidP="00245C09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FF223E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C33D53" w:rsidRPr="00B610FF" w:rsidRDefault="00984183" w:rsidP="006A41C5">
            <w:pPr>
              <w:jc w:val="center"/>
              <w:rPr>
                <w:sz w:val="24"/>
                <w:szCs w:val="24"/>
                <w:highlight w:val="yellow"/>
              </w:rPr>
            </w:pPr>
            <w:r w:rsidRPr="006A41C5">
              <w:rPr>
                <w:sz w:val="24"/>
                <w:szCs w:val="24"/>
              </w:rPr>
              <w:t>50</w:t>
            </w:r>
            <w:r w:rsidR="006A41C5" w:rsidRPr="006A41C5">
              <w:rPr>
                <w:sz w:val="24"/>
                <w:szCs w:val="24"/>
              </w:rPr>
              <w:t>.</w:t>
            </w:r>
            <w:r w:rsidRPr="006A41C5">
              <w:rPr>
                <w:sz w:val="24"/>
                <w:szCs w:val="24"/>
              </w:rPr>
              <w:t>00</w:t>
            </w:r>
          </w:p>
        </w:tc>
        <w:tc>
          <w:tcPr>
            <w:tcW w:w="2551" w:type="dxa"/>
          </w:tcPr>
          <w:p w:rsidR="00C33D53" w:rsidRPr="00FF223E" w:rsidRDefault="00984183" w:rsidP="00245C0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комфортних умов перебування у кімнатах гігієни для відвідувачів суду та його працівників</w:t>
            </w:r>
          </w:p>
        </w:tc>
      </w:tr>
    </w:tbl>
    <w:p w:rsidR="006A41C5" w:rsidRDefault="000B4D60" w:rsidP="006A41C5">
      <w:pPr>
        <w:jc w:val="both"/>
        <w:rPr>
          <w:b/>
          <w:sz w:val="28"/>
          <w:szCs w:val="28"/>
        </w:rPr>
      </w:pPr>
      <w:r w:rsidRPr="00FF223E">
        <w:rPr>
          <w:b/>
          <w:sz w:val="28"/>
          <w:szCs w:val="28"/>
        </w:rPr>
        <w:t xml:space="preserve">                           </w:t>
      </w:r>
      <w:r w:rsidR="00FD4AAB" w:rsidRPr="00FF223E">
        <w:rPr>
          <w:b/>
          <w:sz w:val="28"/>
          <w:szCs w:val="28"/>
        </w:rPr>
        <w:t xml:space="preserve">       </w:t>
      </w:r>
    </w:p>
    <w:p w:rsidR="006A41C5" w:rsidRDefault="006A41C5" w:rsidP="006A41C5">
      <w:pPr>
        <w:jc w:val="both"/>
        <w:rPr>
          <w:b/>
          <w:sz w:val="28"/>
          <w:szCs w:val="28"/>
        </w:rPr>
      </w:pPr>
    </w:p>
    <w:p w:rsidR="000B4D60" w:rsidRPr="00FF223E" w:rsidRDefault="006A41C5" w:rsidP="006A41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B4D60" w:rsidRPr="00FF223E">
        <w:rPr>
          <w:b/>
          <w:sz w:val="28"/>
          <w:szCs w:val="28"/>
        </w:rPr>
        <w:t>Секретар міської ради</w:t>
      </w:r>
      <w:r w:rsidR="000B4D60" w:rsidRPr="00FF223E">
        <w:rPr>
          <w:b/>
          <w:sz w:val="28"/>
          <w:szCs w:val="28"/>
        </w:rPr>
        <w:tab/>
      </w:r>
      <w:r w:rsidR="000B4D60" w:rsidRPr="00FF223E">
        <w:rPr>
          <w:b/>
          <w:sz w:val="28"/>
          <w:szCs w:val="28"/>
        </w:rPr>
        <w:tab/>
      </w:r>
      <w:r w:rsidR="000B4D60" w:rsidRPr="00FF22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0B4D60" w:rsidRPr="00FF223E">
        <w:rPr>
          <w:b/>
          <w:sz w:val="28"/>
          <w:szCs w:val="28"/>
        </w:rPr>
        <w:tab/>
      </w:r>
      <w:r w:rsidR="000B4D60" w:rsidRPr="00FF223E">
        <w:rPr>
          <w:b/>
          <w:sz w:val="28"/>
          <w:szCs w:val="28"/>
        </w:rPr>
        <w:tab/>
      </w:r>
      <w:r w:rsidR="000B4D60" w:rsidRPr="00FF223E">
        <w:rPr>
          <w:b/>
          <w:sz w:val="28"/>
          <w:szCs w:val="28"/>
        </w:rPr>
        <w:tab/>
      </w:r>
      <w:r w:rsidR="000B4D60" w:rsidRPr="00FF223E">
        <w:rPr>
          <w:b/>
          <w:sz w:val="28"/>
          <w:szCs w:val="28"/>
        </w:rPr>
        <w:tab/>
      </w:r>
      <w:r w:rsidR="000B4D60" w:rsidRPr="00FF223E">
        <w:rPr>
          <w:b/>
          <w:sz w:val="28"/>
          <w:szCs w:val="28"/>
        </w:rPr>
        <w:tab/>
        <w:t>С.О.</w:t>
      </w:r>
      <w:r w:rsidR="00CB45E4" w:rsidRPr="00FF223E">
        <w:rPr>
          <w:b/>
          <w:sz w:val="28"/>
          <w:szCs w:val="28"/>
        </w:rPr>
        <w:t xml:space="preserve"> </w:t>
      </w:r>
      <w:r w:rsidR="000B4D60" w:rsidRPr="00FF223E">
        <w:rPr>
          <w:b/>
          <w:sz w:val="28"/>
          <w:szCs w:val="28"/>
        </w:rPr>
        <w:t>Коба</w:t>
      </w:r>
    </w:p>
    <w:p w:rsidR="000B4D60" w:rsidRDefault="000B4D60" w:rsidP="000B4D60">
      <w:pPr>
        <w:jc w:val="both"/>
        <w:rPr>
          <w:sz w:val="28"/>
          <w:szCs w:val="28"/>
        </w:rPr>
      </w:pPr>
    </w:p>
    <w:p w:rsidR="006A41C5" w:rsidRPr="00FF223E" w:rsidRDefault="006A41C5" w:rsidP="000B4D60">
      <w:pPr>
        <w:jc w:val="both"/>
        <w:rPr>
          <w:sz w:val="28"/>
          <w:szCs w:val="28"/>
        </w:rPr>
      </w:pPr>
    </w:p>
    <w:p w:rsidR="006A41C5" w:rsidRPr="005B4D07" w:rsidRDefault="006A41C5" w:rsidP="006A41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Pr="005B4D07">
        <w:rPr>
          <w:bCs/>
          <w:sz w:val="22"/>
          <w:szCs w:val="22"/>
        </w:rPr>
        <w:t>Дерев’янко, 2-27-05</w:t>
      </w:r>
    </w:p>
    <w:p w:rsidR="000B4D60" w:rsidRPr="00FF223E" w:rsidRDefault="000B4D60" w:rsidP="000B4D60">
      <w:pPr>
        <w:ind w:left="851"/>
      </w:pPr>
    </w:p>
    <w:sectPr w:rsidR="000B4D60" w:rsidRPr="00FF223E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0B"/>
    <w:rsid w:val="00013D7B"/>
    <w:rsid w:val="000279E3"/>
    <w:rsid w:val="00034ACD"/>
    <w:rsid w:val="00052256"/>
    <w:rsid w:val="000B4D60"/>
    <w:rsid w:val="001F47E2"/>
    <w:rsid w:val="003A2260"/>
    <w:rsid w:val="003B0CF2"/>
    <w:rsid w:val="004174AE"/>
    <w:rsid w:val="0048156B"/>
    <w:rsid w:val="0048774A"/>
    <w:rsid w:val="004C10D9"/>
    <w:rsid w:val="00505A83"/>
    <w:rsid w:val="00526B9A"/>
    <w:rsid w:val="0056381C"/>
    <w:rsid w:val="006818D2"/>
    <w:rsid w:val="006A41C5"/>
    <w:rsid w:val="006E6754"/>
    <w:rsid w:val="008715D6"/>
    <w:rsid w:val="00873022"/>
    <w:rsid w:val="00893F5A"/>
    <w:rsid w:val="008D7F4F"/>
    <w:rsid w:val="008E2B15"/>
    <w:rsid w:val="009417B8"/>
    <w:rsid w:val="00984183"/>
    <w:rsid w:val="00997633"/>
    <w:rsid w:val="009E4C15"/>
    <w:rsid w:val="00A07767"/>
    <w:rsid w:val="00A42EE7"/>
    <w:rsid w:val="00AB1773"/>
    <w:rsid w:val="00AE07A6"/>
    <w:rsid w:val="00B0683F"/>
    <w:rsid w:val="00B610FF"/>
    <w:rsid w:val="00BA3FF9"/>
    <w:rsid w:val="00BB16D0"/>
    <w:rsid w:val="00C33D53"/>
    <w:rsid w:val="00CB45E4"/>
    <w:rsid w:val="00CB4EE8"/>
    <w:rsid w:val="00D25291"/>
    <w:rsid w:val="00D45049"/>
    <w:rsid w:val="00D96BF2"/>
    <w:rsid w:val="00DA03A3"/>
    <w:rsid w:val="00DB1635"/>
    <w:rsid w:val="00DD4FAC"/>
    <w:rsid w:val="00DE4D7C"/>
    <w:rsid w:val="00E578AA"/>
    <w:rsid w:val="00E90896"/>
    <w:rsid w:val="00EF4B0B"/>
    <w:rsid w:val="00FA0AD1"/>
    <w:rsid w:val="00FD4AAB"/>
    <w:rsid w:val="00FD5578"/>
    <w:rsid w:val="00FF1A47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4D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rsid w:val="009417B8"/>
  </w:style>
  <w:style w:type="character" w:styleId="a4">
    <w:name w:val="Emphasis"/>
    <w:uiPriority w:val="20"/>
    <w:qFormat/>
    <w:rsid w:val="009417B8"/>
    <w:rPr>
      <w:i/>
      <w:iCs/>
    </w:rPr>
  </w:style>
  <w:style w:type="paragraph" w:styleId="a5">
    <w:name w:val="List Paragraph"/>
    <w:basedOn w:val="a"/>
    <w:uiPriority w:val="34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F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FF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4D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rsid w:val="009417B8"/>
  </w:style>
  <w:style w:type="character" w:styleId="a4">
    <w:name w:val="Emphasis"/>
    <w:uiPriority w:val="20"/>
    <w:qFormat/>
    <w:rsid w:val="009417B8"/>
    <w:rPr>
      <w:i/>
      <w:iCs/>
    </w:rPr>
  </w:style>
  <w:style w:type="paragraph" w:styleId="a5">
    <w:name w:val="List Paragraph"/>
    <w:basedOn w:val="a"/>
    <w:uiPriority w:val="34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F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FF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User4</cp:lastModifiedBy>
  <cp:revision>2</cp:revision>
  <cp:lastPrinted>2019-09-25T07:21:00Z</cp:lastPrinted>
  <dcterms:created xsi:type="dcterms:W3CDTF">2019-09-30T06:20:00Z</dcterms:created>
  <dcterms:modified xsi:type="dcterms:W3CDTF">2019-09-30T06:20:00Z</dcterms:modified>
</cp:coreProperties>
</file>