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EB8" w:rsidRPr="00D05FD0" w:rsidRDefault="009B7EB8" w:rsidP="009B7EB8">
      <w:pPr>
        <w:ind w:firstLine="5103"/>
        <w:rPr>
          <w:b/>
          <w:sz w:val="24"/>
          <w:szCs w:val="24"/>
          <w:lang w:val="uk-UA"/>
        </w:rPr>
      </w:pPr>
      <w:r w:rsidRPr="00D05FD0">
        <w:rPr>
          <w:b/>
          <w:sz w:val="24"/>
          <w:szCs w:val="24"/>
          <w:lang w:val="uk-UA"/>
        </w:rPr>
        <w:t>Додаток 3</w:t>
      </w:r>
    </w:p>
    <w:p w:rsidR="009B7EB8" w:rsidRPr="00D05FD0" w:rsidRDefault="009B7EB8" w:rsidP="009B7EB8">
      <w:pPr>
        <w:ind w:firstLine="5103"/>
        <w:rPr>
          <w:b/>
          <w:sz w:val="24"/>
          <w:szCs w:val="24"/>
          <w:lang w:val="uk-UA"/>
        </w:rPr>
      </w:pPr>
      <w:r w:rsidRPr="00D05FD0">
        <w:rPr>
          <w:b/>
          <w:sz w:val="24"/>
          <w:szCs w:val="24"/>
          <w:lang w:val="uk-UA"/>
        </w:rPr>
        <w:t>ЗАТВЕРДЖЕНО:</w:t>
      </w:r>
    </w:p>
    <w:p w:rsidR="009B7EB8" w:rsidRPr="00D05FD0" w:rsidRDefault="009B7EB8" w:rsidP="009B7EB8">
      <w:pPr>
        <w:ind w:firstLine="5103"/>
        <w:rPr>
          <w:b/>
          <w:sz w:val="24"/>
          <w:szCs w:val="24"/>
          <w:lang w:val="uk-UA"/>
        </w:rPr>
      </w:pPr>
      <w:r w:rsidRPr="00D05FD0">
        <w:rPr>
          <w:b/>
          <w:sz w:val="24"/>
          <w:szCs w:val="24"/>
          <w:lang w:val="uk-UA"/>
        </w:rPr>
        <w:t>Розпорядження міського голови</w:t>
      </w:r>
    </w:p>
    <w:p w:rsidR="009B7EB8" w:rsidRPr="00D05FD0" w:rsidRDefault="009B7EB8" w:rsidP="009B7EB8">
      <w:pPr>
        <w:ind w:firstLine="510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</w:t>
      </w:r>
      <w:r w:rsidRPr="00D05FD0">
        <w:rPr>
          <w:b/>
          <w:sz w:val="24"/>
          <w:szCs w:val="24"/>
          <w:lang w:val="uk-UA"/>
        </w:rPr>
        <w:t>ід</w:t>
      </w:r>
      <w:r>
        <w:rPr>
          <w:b/>
          <w:sz w:val="24"/>
          <w:szCs w:val="24"/>
          <w:lang w:val="uk-UA"/>
        </w:rPr>
        <w:t xml:space="preserve"> 28 квітня</w:t>
      </w:r>
      <w:r w:rsidRPr="00D05FD0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2026</w:t>
      </w:r>
      <w:r w:rsidRPr="00D05FD0">
        <w:rPr>
          <w:b/>
          <w:sz w:val="24"/>
          <w:szCs w:val="24"/>
          <w:lang w:val="uk-UA"/>
        </w:rPr>
        <w:t xml:space="preserve"> №</w:t>
      </w:r>
      <w:r>
        <w:rPr>
          <w:b/>
          <w:sz w:val="24"/>
          <w:szCs w:val="24"/>
          <w:lang w:val="uk-UA"/>
        </w:rPr>
        <w:t xml:space="preserve"> 166</w:t>
      </w:r>
    </w:p>
    <w:p w:rsidR="009B7EB8" w:rsidRPr="00D05FD0" w:rsidRDefault="009B7EB8" w:rsidP="009B7EB8">
      <w:pPr>
        <w:ind w:left="10620" w:firstLine="708"/>
        <w:jc w:val="both"/>
        <w:rPr>
          <w:szCs w:val="28"/>
          <w:lang w:val="uk-UA"/>
        </w:rPr>
      </w:pPr>
      <w:r w:rsidRPr="00D05FD0">
        <w:rPr>
          <w:szCs w:val="28"/>
          <w:lang w:val="uk-UA"/>
        </w:rPr>
        <w:t xml:space="preserve"> </w:t>
      </w:r>
    </w:p>
    <w:p w:rsidR="009B7EB8" w:rsidRPr="00D05FD0" w:rsidRDefault="009B7EB8" w:rsidP="009B7EB8">
      <w:pPr>
        <w:jc w:val="center"/>
        <w:rPr>
          <w:b/>
          <w:szCs w:val="28"/>
          <w:lang w:val="uk-UA"/>
        </w:rPr>
      </w:pPr>
      <w:bookmarkStart w:id="0" w:name="_Hlk168066509"/>
      <w:r w:rsidRPr="00D05FD0">
        <w:rPr>
          <w:b/>
          <w:szCs w:val="28"/>
          <w:lang w:val="uk-UA"/>
        </w:rPr>
        <w:t>Перелік підрозділів, відповідальних за підготовку наборів даних у формі відкритих даних у межах повноважень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55"/>
        <w:gridCol w:w="4365"/>
        <w:gridCol w:w="1843"/>
        <w:gridCol w:w="2977"/>
      </w:tblGrid>
      <w:tr w:rsidR="009B7EB8" w:rsidRPr="00D05FD0" w:rsidTr="00CB75CA">
        <w:trPr>
          <w:trHeight w:val="6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/>
                <w:sz w:val="24"/>
                <w:szCs w:val="24"/>
                <w:lang w:val="uk-UA"/>
              </w:rPr>
            </w:pPr>
            <w:r w:rsidRPr="00D05FD0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B7EB8" w:rsidRPr="00D05FD0" w:rsidRDefault="009B7EB8" w:rsidP="00CB75CA">
            <w:pPr>
              <w:pStyle w:val="TableParagraph"/>
              <w:spacing w:line="240" w:lineRule="exact"/>
              <w:ind w:left="0" w:right="139" w:firstLine="2"/>
              <w:jc w:val="center"/>
              <w:rPr>
                <w:b/>
                <w:sz w:val="24"/>
                <w:szCs w:val="24"/>
                <w:lang w:val="uk-UA"/>
              </w:rPr>
            </w:pPr>
            <w:r w:rsidRPr="00D05FD0">
              <w:rPr>
                <w:b/>
                <w:sz w:val="24"/>
                <w:szCs w:val="24"/>
                <w:lang w:val="uk-UA"/>
              </w:rPr>
              <w:t>Інформація, що підлягає оприлюдненню у формі відкритих даних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pStyle w:val="TableParagraph"/>
              <w:spacing w:line="240" w:lineRule="exact"/>
              <w:ind w:left="0" w:right="139" w:firstLine="2"/>
              <w:jc w:val="center"/>
              <w:rPr>
                <w:b/>
                <w:sz w:val="24"/>
                <w:szCs w:val="24"/>
                <w:lang w:val="uk-UA"/>
              </w:rPr>
            </w:pPr>
            <w:r w:rsidRPr="00D05FD0">
              <w:rPr>
                <w:b/>
                <w:sz w:val="24"/>
                <w:szCs w:val="24"/>
                <w:lang w:val="uk-UA"/>
              </w:rPr>
              <w:t>Частота оновлення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pStyle w:val="TableParagraph"/>
              <w:spacing w:line="240" w:lineRule="exact"/>
              <w:ind w:left="0" w:right="139" w:firstLine="2"/>
              <w:rPr>
                <w:b/>
                <w:sz w:val="24"/>
                <w:szCs w:val="24"/>
                <w:lang w:val="uk-UA"/>
              </w:rPr>
            </w:pPr>
            <w:r w:rsidRPr="00D05FD0">
              <w:rPr>
                <w:b/>
                <w:sz w:val="24"/>
                <w:szCs w:val="24"/>
                <w:lang w:val="uk-UA"/>
              </w:rPr>
              <w:t>Структурний підрозділ, що готує інформацію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- 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Сектор реєстрації, відділ персоналу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Інформація про організаційну структуру розпорядника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Кожного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персоналу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Всі розпорядники даних</w:t>
            </w:r>
          </w:p>
        </w:tc>
      </w:tr>
      <w:tr w:rsidR="009B7EB8" w:rsidRPr="00D05FD0" w:rsidTr="00CB75CA">
        <w:trPr>
          <w:trHeight w:val="5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Кожного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містобудування, архітектури та земельних відносин</w:t>
            </w:r>
          </w:p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з питань діловодства та звернень громадян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цифрової трансформації та комп'ютерного забезпечення</w:t>
            </w:r>
          </w:p>
        </w:tc>
      </w:tr>
      <w:tr w:rsidR="009B7EB8" w:rsidRPr="009E5C67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Кожного півріччя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бухгалтерського обліку</w:t>
            </w:r>
          </w:p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D05FD0">
              <w:rPr>
                <w:bCs/>
                <w:sz w:val="24"/>
                <w:szCs w:val="24"/>
                <w:lang w:val="uk-UA"/>
              </w:rPr>
              <w:t>внутрішньоорганізаційних</w:t>
            </w:r>
            <w:proofErr w:type="spellEnd"/>
            <w:r w:rsidRPr="00D05FD0">
              <w:rPr>
                <w:bCs/>
                <w:sz w:val="24"/>
                <w:szCs w:val="24"/>
                <w:lang w:val="uk-UA"/>
              </w:rPr>
              <w:t>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Щотижня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Всі розпорядники даних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 xml:space="preserve">Переліки регуляторних актів із зазначенням дати набрання чинності, строку проведення базового, повторного та періодичного відстеження їх </w:t>
            </w:r>
            <w:r w:rsidRPr="00D05FD0">
              <w:rPr>
                <w:bCs/>
                <w:sz w:val="24"/>
                <w:szCs w:val="24"/>
                <w:lang w:val="uk-UA"/>
              </w:rPr>
              <w:lastRenderedPageBreak/>
              <w:t>результативності та інформації про джерело їх оприлюднення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lastRenderedPageBreak/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Всі розпорядники даних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Всі розпорядники даних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Щокварталу (в строки, що встановлені законодавством для подання фінансової звітності)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Всі розпорядники даних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Всі розпорядники даних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Результати інформаційного аудиту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цифрової трансформації та комп'ютерного забезпечення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Адресний реєстр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містобудування, архітектури та земельних відносин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містобудування, архітектури та земельних відносин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19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 xml:space="preserve">Дані містобудівного кадастру, зокрема </w:t>
            </w:r>
            <w:proofErr w:type="spellStart"/>
            <w:r w:rsidRPr="00D05FD0">
              <w:rPr>
                <w:bCs/>
                <w:sz w:val="24"/>
                <w:szCs w:val="24"/>
                <w:lang w:val="uk-UA"/>
              </w:rPr>
              <w:t>геопросторові</w:t>
            </w:r>
            <w:proofErr w:type="spellEnd"/>
            <w:r w:rsidRPr="00D05FD0">
              <w:rPr>
                <w:bCs/>
                <w:sz w:val="24"/>
                <w:szCs w:val="24"/>
                <w:lang w:val="uk-UA"/>
              </w:rPr>
              <w:t xml:space="preserve"> дані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містобудування, архітектури та земельних відносин</w:t>
            </w:r>
          </w:p>
        </w:tc>
      </w:tr>
      <w:tr w:rsidR="009B7EB8" w:rsidRPr="00D05FD0" w:rsidTr="00CB75CA">
        <w:trPr>
          <w:trHeight w:val="2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видані будівельні паспорти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Щотижня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містобудування, архітектури та земельних відносин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Реєстр будівельної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Щотижня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містобудування, архітектури та земельних відносин</w:t>
            </w:r>
          </w:p>
        </w:tc>
      </w:tr>
      <w:tr w:rsidR="009B7EB8" w:rsidRPr="00D05FD0" w:rsidTr="00CB75CA">
        <w:trPr>
          <w:trHeight w:val="72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Щотижня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містобудування, архітектури та земельних відносин,</w:t>
            </w:r>
          </w:p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містобудування, архітектури та земельних відносин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Перелік інвестиційних договорів, додатків, додаткових угод та інших матеріалів до них, умов, зокрема посилань на оприлюднені ресурси в Інтернеті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Всі розпорядники бюджетних коштів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Всі розпорядники бюджетних коштів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доступність будівель для осіб з інвалідністю та інших маломобільних груп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паркування, зокрема розміщення майданчиків, їх операторів, обладнання та функціонування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Дані про розміщення громадських </w:t>
            </w:r>
            <w:proofErr w:type="spellStart"/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вбиралень</w:t>
            </w:r>
            <w:proofErr w:type="spellEnd"/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 комунальної власності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Щотижня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32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D05FD0">
              <w:rPr>
                <w:sz w:val="24"/>
                <w:szCs w:val="24"/>
                <w:shd w:val="clear" w:color="auto" w:fill="FAFAFA"/>
              </w:rPr>
              <w:t>33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Щорічно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Дані про ремонт автомобільних доріг місцевого значення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Перелік титулів на проведення будівництва — нового будівництва, реконструкції, реставрації, капітального ремонту, а також поточного ремонту та благоустрою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pStyle w:val="1"/>
              <w:spacing w:line="240" w:lineRule="exact"/>
              <w:jc w:val="center"/>
              <w:rPr>
                <w:b w:val="0"/>
                <w:bCs/>
                <w:sz w:val="24"/>
                <w:szCs w:val="24"/>
              </w:rPr>
            </w:pPr>
            <w:r w:rsidRPr="00D05FD0">
              <w:rPr>
                <w:b w:val="0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Щорічно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освіти, молоді та спорту</w:t>
            </w:r>
          </w:p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37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Дані про місцезнаходження зон для вигулу домашніх тварин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Щорічно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pStyle w:val="1"/>
              <w:spacing w:line="240" w:lineRule="exact"/>
              <w:jc w:val="center"/>
              <w:rPr>
                <w:b w:val="0"/>
                <w:bCs/>
                <w:sz w:val="24"/>
                <w:szCs w:val="24"/>
                <w:shd w:val="clear" w:color="auto" w:fill="FAFAFA"/>
              </w:rPr>
            </w:pPr>
            <w:r w:rsidRPr="00D05FD0">
              <w:rPr>
                <w:b w:val="0"/>
                <w:bCs/>
                <w:sz w:val="24"/>
                <w:szCs w:val="24"/>
              </w:rPr>
              <w:t>38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Дані про розташування захисних споруд цивільного захисту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Щорічно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Відділ цивільного захисту, ОМР та взаємодії з правоохоронними органами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40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містобудування, архітектури та земельних відносин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Відділ з питань управління комунальним майном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42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Перелік об’єктів комунальної власності, які можуть бути передані в оренду (до дати, визначеної підпунктом 1 пункту 1 розділу “Прикінцеві та перехідні положення” Закону України “Про оренду державного та комунального майна”)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з питань управління комунальним майном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43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з питань управління комунальним майном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Перелік об’єктів комунальної власності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з питань управління комунальним майном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 пунктом 6 розділу “Прикінцеві та перехідні положення” Закону України “Про оренду державного та комунального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з питань управління комунальним майном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Відділ містобудування, архітектури та земельних відносин</w:t>
            </w:r>
          </w:p>
        </w:tc>
      </w:tr>
      <w:tr w:rsidR="009B7EB8" w:rsidRPr="00D05FD0" w:rsidTr="00CB75CA">
        <w:trPr>
          <w:trHeight w:val="60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з питань управління комунальним майном</w:t>
            </w:r>
          </w:p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місцезнаходження камер відеоспостереження, що перебувають у комунальній власності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49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4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51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Щотижня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52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депутатів місцевих рад, зокрема контактна інформація та графік прийому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по забезпеченню діяльності ради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53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по забезпеченню діяльності ради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54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55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Інформація про укладені договори про надання послуг з управління побутовими відходами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56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Дані про черги дітей у заклади дошкільної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Щотижня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освіти, молоді та спорту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57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Території обслуговування комунальних закладів загальної середньої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Управління освіти, молоді та спорту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58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Території обслуговування комунальних закладів дошкільної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Управління освіти, молоді та спорту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59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lang w:val="uk-UA"/>
              </w:rPr>
              <w:t>Заклади охорони здоров'я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60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lang w:val="uk-UA"/>
              </w:rPr>
              <w:t>Заклади охорони здоров'я</w:t>
            </w:r>
          </w:p>
        </w:tc>
      </w:tr>
      <w:tr w:rsidR="009B7EB8" w:rsidRPr="009E5C67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61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lang w:val="uk-UA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Відділ містобудування, архітектури та земельних відносин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62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об’єкти та засоби торгівлі (пересувної, сезонної тощо)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Відомості про транспортні засоби, які обслуговують пасажирські автобусні, тролейбусні та трамвайні маршрути перевезення (марка, модель, державний номер, пасажиромісткість)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65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місцезнаходження міського електричного та пасажирського автомобільного транспорту в режимі реального часу, зокрема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Більш як один раз на 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lastRenderedPageBreak/>
              <w:t>66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67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sz w:val="24"/>
                <w:szCs w:val="24"/>
                <w:lang w:val="uk-UA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зокрема маршрути перевезень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68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sz w:val="24"/>
                <w:szCs w:val="24"/>
                <w:lang w:val="uk-UA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69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sz w:val="24"/>
                <w:szCs w:val="24"/>
                <w:lang w:val="uk-UA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sz w:val="24"/>
                <w:szCs w:val="24"/>
                <w:lang w:val="uk-UA"/>
              </w:rPr>
              <w:t>Щотижня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sz w:val="24"/>
                <w:szCs w:val="24"/>
              </w:rPr>
              <w:t>70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електронні петиції, зокрема осіб, що їх підписали, та результати розгляду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з питань діловодства та звернень громадян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sz w:val="24"/>
                <w:szCs w:val="24"/>
                <w:shd w:val="clear" w:color="auto" w:fill="FAFAFA"/>
              </w:rPr>
              <w:t>71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надані адміністративні послуги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Відділ «Центр надання адміністративних послуг»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sz w:val="24"/>
                <w:szCs w:val="24"/>
                <w:shd w:val="clear" w:color="auto" w:fill="FAFAFA"/>
              </w:rPr>
              <w:t>72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надходження звернень на телефонні “гарячі лінії”, в аварійно-диспетчерські служби, телефонні центри тощо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будівництва, Комунальні підприємства, Управління праці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</w:pPr>
            <w:r w:rsidRPr="00D05FD0">
              <w:rPr>
                <w:sz w:val="24"/>
                <w:szCs w:val="24"/>
                <w:shd w:val="clear" w:color="auto" w:fill="FAFAFA"/>
              </w:rPr>
              <w:t>73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Щотижня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shd w:val="clear" w:color="auto" w:fill="FAFAFA"/>
              </w:rPr>
              <w:t>74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  <w:tr w:rsidR="009B7EB8" w:rsidRPr="00D05FD0" w:rsidTr="00CB75CA">
        <w:trPr>
          <w:trHeight w:val="31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shd w:val="clear" w:color="auto" w:fill="FAFAFA"/>
              </w:rPr>
              <w:t>75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Перелік книг обліку реєстрації поховань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B8" w:rsidRPr="00D05FD0" w:rsidRDefault="009B7EB8" w:rsidP="00CB75CA">
            <w:pPr>
              <w:spacing w:line="240" w:lineRule="exact"/>
              <w:jc w:val="center"/>
              <w:rPr>
                <w:bCs/>
                <w:spacing w:val="2"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EB8" w:rsidRPr="00D05FD0" w:rsidRDefault="009B7EB8" w:rsidP="00CB75CA">
            <w:pPr>
              <w:spacing w:line="240" w:lineRule="exact"/>
              <w:rPr>
                <w:bCs/>
                <w:spacing w:val="2"/>
                <w:sz w:val="24"/>
                <w:szCs w:val="24"/>
                <w:lang w:val="uk-UA"/>
              </w:rPr>
            </w:pPr>
            <w:r w:rsidRPr="00D05FD0">
              <w:rPr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</w:t>
            </w:r>
          </w:p>
        </w:tc>
      </w:tr>
    </w:tbl>
    <w:p w:rsidR="009B7EB8" w:rsidRPr="00D05FD0" w:rsidRDefault="009B7EB8" w:rsidP="009B7EB8">
      <w:pPr>
        <w:jc w:val="center"/>
        <w:rPr>
          <w:sz w:val="24"/>
          <w:szCs w:val="24"/>
          <w:lang w:val="uk-UA"/>
        </w:rPr>
      </w:pPr>
    </w:p>
    <w:bookmarkEnd w:id="0"/>
    <w:p w:rsidR="009B7EB8" w:rsidRPr="00D05FD0" w:rsidRDefault="009B7EB8" w:rsidP="009B7EB8">
      <w:pPr>
        <w:jc w:val="both"/>
        <w:rPr>
          <w:b/>
          <w:lang w:val="uk-UA"/>
        </w:rPr>
      </w:pPr>
    </w:p>
    <w:p w:rsidR="009B7EB8" w:rsidRPr="00D05FD0" w:rsidRDefault="009B7EB8" w:rsidP="009B7EB8">
      <w:pPr>
        <w:jc w:val="both"/>
        <w:rPr>
          <w:b/>
          <w:lang w:val="uk-UA"/>
        </w:rPr>
      </w:pPr>
    </w:p>
    <w:p w:rsidR="009B7EB8" w:rsidRPr="00D05FD0" w:rsidRDefault="009B7EB8" w:rsidP="009B7EB8">
      <w:pPr>
        <w:jc w:val="both"/>
        <w:rPr>
          <w:b/>
          <w:lang w:val="uk-UA"/>
        </w:rPr>
      </w:pPr>
      <w:r w:rsidRPr="00D05FD0">
        <w:rPr>
          <w:b/>
          <w:lang w:val="uk-UA"/>
        </w:rPr>
        <w:t xml:space="preserve">Керуючий справами </w:t>
      </w:r>
    </w:p>
    <w:p w:rsidR="009B7EB8" w:rsidRPr="00D05FD0" w:rsidRDefault="009B7EB8" w:rsidP="009B7EB8">
      <w:pPr>
        <w:jc w:val="both"/>
        <w:rPr>
          <w:b/>
          <w:lang w:val="uk-UA"/>
        </w:rPr>
      </w:pPr>
      <w:r w:rsidRPr="00D05FD0">
        <w:rPr>
          <w:b/>
          <w:lang w:val="uk-UA"/>
        </w:rPr>
        <w:t>виконавчого комітету</w:t>
      </w:r>
    </w:p>
    <w:p w:rsidR="009B7EB8" w:rsidRPr="00D05FD0" w:rsidRDefault="009B7EB8" w:rsidP="009B7EB8">
      <w:pPr>
        <w:jc w:val="both"/>
        <w:rPr>
          <w:b/>
          <w:lang w:val="uk-UA"/>
        </w:rPr>
      </w:pPr>
      <w:r w:rsidRPr="00D05FD0">
        <w:rPr>
          <w:b/>
          <w:lang w:val="uk-UA"/>
        </w:rPr>
        <w:t xml:space="preserve">міської ради                                                          </w:t>
      </w:r>
      <w:r w:rsidRPr="00D05FD0">
        <w:rPr>
          <w:b/>
          <w:lang w:val="uk-UA"/>
        </w:rPr>
        <w:tab/>
        <w:t xml:space="preserve">    Тетяна ЗАПОРОЖЕЦЬ</w:t>
      </w:r>
    </w:p>
    <w:p w:rsidR="009B7EB8" w:rsidRPr="00D05FD0" w:rsidRDefault="009B7EB8" w:rsidP="009B7EB8">
      <w:pPr>
        <w:jc w:val="both"/>
        <w:rPr>
          <w:sz w:val="20"/>
          <w:szCs w:val="24"/>
          <w:lang w:val="uk-UA"/>
        </w:rPr>
      </w:pPr>
    </w:p>
    <w:p w:rsidR="001F5381" w:rsidRPr="009B7EB8" w:rsidRDefault="009B7EB8" w:rsidP="009B7EB8">
      <w:pPr>
        <w:jc w:val="both"/>
        <w:rPr>
          <w:sz w:val="22"/>
          <w:szCs w:val="24"/>
          <w:lang w:val="uk-UA"/>
        </w:rPr>
      </w:pPr>
      <w:r w:rsidRPr="00D05FD0">
        <w:rPr>
          <w:sz w:val="22"/>
          <w:szCs w:val="24"/>
          <w:lang w:val="uk-UA"/>
        </w:rPr>
        <w:t xml:space="preserve">Марина </w:t>
      </w:r>
      <w:proofErr w:type="spellStart"/>
      <w:r w:rsidRPr="00D05FD0">
        <w:rPr>
          <w:sz w:val="22"/>
          <w:szCs w:val="24"/>
          <w:lang w:val="uk-UA"/>
        </w:rPr>
        <w:t>Грибіник</w:t>
      </w:r>
      <w:bookmarkStart w:id="1" w:name="_GoBack"/>
      <w:bookmarkEnd w:id="1"/>
      <w:proofErr w:type="spellEnd"/>
    </w:p>
    <w:sectPr w:rsidR="001F5381" w:rsidRPr="009B7EB8" w:rsidSect="00BC3B96">
      <w:headerReference w:type="even" r:id="rId4"/>
      <w:pgSz w:w="11906" w:h="16838" w:code="9"/>
      <w:pgMar w:top="567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1AAE" w:rsidRDefault="009B7EB8" w:rsidP="00D659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AAE" w:rsidRDefault="009B7E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B8"/>
    <w:rsid w:val="001F5381"/>
    <w:rsid w:val="009B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66D8"/>
  <w15:chartTrackingRefBased/>
  <w15:docId w15:val="{88FA307E-9D02-4B5B-A72D-B5F7217C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B7EB8"/>
    <w:pPr>
      <w:keepNext/>
      <w:jc w:val="both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7EB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9B7E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7EB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uiPriority w:val="99"/>
    <w:rsid w:val="009B7EB8"/>
    <w:rPr>
      <w:rFonts w:cs="Times New Roman"/>
    </w:rPr>
  </w:style>
  <w:style w:type="paragraph" w:customStyle="1" w:styleId="TableParagraph">
    <w:name w:val="Table Paragraph"/>
    <w:basedOn w:val="a"/>
    <w:rsid w:val="009B7EB8"/>
    <w:pPr>
      <w:widowControl w:val="0"/>
      <w:ind w:left="103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2064</Words>
  <Characters>11765</Characters>
  <Application>Microsoft Office Word</Application>
  <DocSecurity>0</DocSecurity>
  <Lines>98</Lines>
  <Paragraphs>27</Paragraphs>
  <ScaleCrop>false</ScaleCrop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</dc:creator>
  <cp:keywords/>
  <dc:description/>
  <cp:lastModifiedBy>Kab-4</cp:lastModifiedBy>
  <cp:revision>1</cp:revision>
  <dcterms:created xsi:type="dcterms:W3CDTF">2026-05-01T12:28:00Z</dcterms:created>
  <dcterms:modified xsi:type="dcterms:W3CDTF">2026-05-01T12:28:00Z</dcterms:modified>
</cp:coreProperties>
</file>