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48" w:type="dxa"/>
        <w:jc w:val="right"/>
        <w:tblLook w:val="0000"/>
      </w:tblPr>
      <w:tblGrid>
        <w:gridCol w:w="4548"/>
      </w:tblGrid>
      <w:tr w:rsidR="00D87D37" w:rsidRPr="00FF223E" w:rsidTr="003A2260">
        <w:trPr>
          <w:trHeight w:val="367"/>
          <w:jc w:val="right"/>
        </w:trPr>
        <w:tc>
          <w:tcPr>
            <w:tcW w:w="4548" w:type="dxa"/>
          </w:tcPr>
          <w:p w:rsidR="00D87D37" w:rsidRPr="00FF223E" w:rsidRDefault="00D87D37" w:rsidP="003A2260">
            <w:pPr>
              <w:jc w:val="right"/>
              <w:rPr>
                <w:sz w:val="24"/>
                <w:szCs w:val="24"/>
              </w:rPr>
            </w:pPr>
            <w:r w:rsidRPr="00FF223E">
              <w:rPr>
                <w:sz w:val="24"/>
                <w:szCs w:val="24"/>
              </w:rPr>
              <w:t xml:space="preserve">Додаток 2 </w:t>
            </w:r>
          </w:p>
          <w:p w:rsidR="00D87D37" w:rsidRPr="00FF223E" w:rsidRDefault="00D87D37" w:rsidP="003A2260">
            <w:pPr>
              <w:pStyle w:val="Heading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FF223E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Pr="00FF223E">
              <w:rPr>
                <w:sz w:val="24"/>
                <w:szCs w:val="24"/>
                <w:lang w:val="uk-UA"/>
              </w:rPr>
              <w:t>омплексної програми профілактики та протидії злочинності</w:t>
            </w:r>
          </w:p>
          <w:p w:rsidR="00D87D37" w:rsidRPr="00FF223E" w:rsidRDefault="00D87D37" w:rsidP="003A2260">
            <w:pPr>
              <w:tabs>
                <w:tab w:val="left" w:pos="183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F223E">
              <w:rPr>
                <w:b/>
                <w:bCs/>
                <w:sz w:val="24"/>
                <w:szCs w:val="24"/>
              </w:rPr>
              <w:t xml:space="preserve">на території </w:t>
            </w:r>
            <w:r>
              <w:rPr>
                <w:b/>
                <w:bCs/>
                <w:sz w:val="24"/>
                <w:szCs w:val="24"/>
              </w:rPr>
              <w:t>Лозівської міської об’єднаної територіальної громади</w:t>
            </w:r>
            <w:r w:rsidRPr="00FF223E">
              <w:rPr>
                <w:b/>
                <w:bCs/>
                <w:sz w:val="24"/>
                <w:szCs w:val="24"/>
              </w:rPr>
              <w:t xml:space="preserve"> </w:t>
            </w:r>
          </w:p>
          <w:p w:rsidR="00D87D37" w:rsidRPr="00FF223E" w:rsidRDefault="00D87D37" w:rsidP="003A2260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FF223E">
              <w:rPr>
                <w:b/>
                <w:bCs/>
                <w:sz w:val="24"/>
                <w:szCs w:val="24"/>
              </w:rPr>
              <w:t>на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FF223E">
              <w:rPr>
                <w:b/>
                <w:bCs/>
                <w:sz w:val="24"/>
                <w:szCs w:val="24"/>
              </w:rPr>
              <w:t>-20</w:t>
            </w:r>
            <w:r>
              <w:rPr>
                <w:b/>
                <w:bCs/>
                <w:sz w:val="24"/>
                <w:szCs w:val="24"/>
              </w:rPr>
              <w:t>22</w:t>
            </w:r>
            <w:r w:rsidRPr="00FF223E">
              <w:rPr>
                <w:b/>
                <w:bCs/>
                <w:sz w:val="24"/>
                <w:szCs w:val="24"/>
              </w:rPr>
              <w:t xml:space="preserve"> роки</w:t>
            </w:r>
          </w:p>
          <w:p w:rsidR="00D87D37" w:rsidRPr="00FF223E" w:rsidRDefault="00D87D37" w:rsidP="00245C09">
            <w:pPr>
              <w:jc w:val="both"/>
              <w:rPr>
                <w:sz w:val="28"/>
                <w:szCs w:val="28"/>
              </w:rPr>
            </w:pPr>
          </w:p>
        </w:tc>
      </w:tr>
    </w:tbl>
    <w:p w:rsidR="00D87D37" w:rsidRPr="00FF223E" w:rsidRDefault="00D87D37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FF223E">
        <w:rPr>
          <w:sz w:val="28"/>
          <w:szCs w:val="28"/>
          <w:lang w:val="uk-UA"/>
        </w:rPr>
        <w:t xml:space="preserve">Напрями діяльності та заходи </w:t>
      </w:r>
    </w:p>
    <w:p w:rsidR="00D87D37" w:rsidRPr="00FF223E" w:rsidRDefault="00D87D37" w:rsidP="000B4D60">
      <w:pPr>
        <w:pStyle w:val="Heading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F223E">
        <w:rPr>
          <w:sz w:val="28"/>
          <w:szCs w:val="28"/>
          <w:lang w:val="uk-UA"/>
        </w:rPr>
        <w:t>омплексної програми профілактики та протидії злочинності</w:t>
      </w:r>
    </w:p>
    <w:p w:rsidR="00D87D37" w:rsidRPr="00FF223E" w:rsidRDefault="00D87D37" w:rsidP="000B4D60">
      <w:pPr>
        <w:jc w:val="center"/>
        <w:rPr>
          <w:b/>
          <w:bCs/>
          <w:sz w:val="28"/>
          <w:szCs w:val="28"/>
        </w:rPr>
      </w:pPr>
      <w:r w:rsidRPr="00FF223E">
        <w:rPr>
          <w:b/>
          <w:bCs/>
          <w:sz w:val="28"/>
          <w:szCs w:val="28"/>
        </w:rPr>
        <w:t xml:space="preserve"> на території </w:t>
      </w:r>
      <w:r>
        <w:rPr>
          <w:b/>
          <w:bCs/>
          <w:sz w:val="28"/>
          <w:szCs w:val="28"/>
        </w:rPr>
        <w:t>Лозівської міської об’єднаної територіальної громади</w:t>
      </w:r>
      <w:r w:rsidRPr="00FF223E">
        <w:rPr>
          <w:b/>
          <w:bCs/>
          <w:sz w:val="28"/>
          <w:szCs w:val="28"/>
        </w:rPr>
        <w:t xml:space="preserve"> на 20</w:t>
      </w:r>
      <w:r>
        <w:rPr>
          <w:b/>
          <w:bCs/>
          <w:sz w:val="28"/>
          <w:szCs w:val="28"/>
        </w:rPr>
        <w:t>20</w:t>
      </w:r>
      <w:r w:rsidRPr="00FF223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22</w:t>
      </w:r>
      <w:r w:rsidRPr="00FF223E">
        <w:rPr>
          <w:b/>
          <w:bCs/>
          <w:sz w:val="28"/>
          <w:szCs w:val="28"/>
        </w:rPr>
        <w:t xml:space="preserve"> роки.</w:t>
      </w:r>
    </w:p>
    <w:p w:rsidR="00D87D37" w:rsidRPr="00FF223E" w:rsidRDefault="00D87D37" w:rsidP="000B4D60">
      <w:pPr>
        <w:jc w:val="center"/>
        <w:rPr>
          <w:sz w:val="28"/>
          <w:szCs w:val="28"/>
        </w:rPr>
      </w:pPr>
    </w:p>
    <w:tbl>
      <w:tblPr>
        <w:tblW w:w="144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"/>
        <w:gridCol w:w="2268"/>
        <w:gridCol w:w="2268"/>
        <w:gridCol w:w="1275"/>
        <w:gridCol w:w="2835"/>
        <w:gridCol w:w="1276"/>
        <w:gridCol w:w="1418"/>
        <w:gridCol w:w="2693"/>
      </w:tblGrid>
      <w:tr w:rsidR="00D87D37" w:rsidRPr="00FF223E" w:rsidTr="006456F8">
        <w:trPr>
          <w:trHeight w:val="2611"/>
        </w:trPr>
        <w:tc>
          <w:tcPr>
            <w:tcW w:w="397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>N</w:t>
            </w:r>
            <w:r w:rsidRPr="006456F8">
              <w:rPr>
                <w:b/>
                <w:sz w:val="24"/>
                <w:szCs w:val="24"/>
                <w:lang w:val="ru-RU"/>
              </w:rPr>
              <w:br/>
            </w:r>
            <w:r w:rsidRPr="006456F8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2268" w:type="dxa"/>
          </w:tcPr>
          <w:p w:rsidR="00D87D37" w:rsidRPr="006456F8" w:rsidRDefault="00D87D37" w:rsidP="006456F8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 xml:space="preserve">Назва </w:t>
            </w:r>
          </w:p>
          <w:p w:rsidR="00D87D37" w:rsidRPr="006456F8" w:rsidRDefault="00D87D37" w:rsidP="006456F8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 xml:space="preserve">напряму </w:t>
            </w:r>
          </w:p>
          <w:p w:rsidR="00D87D37" w:rsidRPr="006456F8" w:rsidRDefault="00D87D37" w:rsidP="006456F8">
            <w:pPr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b/>
                <w:sz w:val="24"/>
                <w:szCs w:val="24"/>
              </w:rPr>
              <w:t xml:space="preserve">діяльності (пріоритетні 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завдання) </w:t>
            </w:r>
          </w:p>
        </w:tc>
        <w:tc>
          <w:tcPr>
            <w:tcW w:w="226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Строк виконан-ня заходу </w:t>
            </w:r>
          </w:p>
        </w:tc>
        <w:tc>
          <w:tcPr>
            <w:tcW w:w="2835" w:type="dxa"/>
          </w:tcPr>
          <w:p w:rsidR="00D87D37" w:rsidRPr="006456F8" w:rsidRDefault="00D87D37" w:rsidP="006456F8">
            <w:pPr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276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Джерела фінансу</w:t>
            </w:r>
            <w:r w:rsidRPr="006456F8">
              <w:rPr>
                <w:b/>
                <w:sz w:val="24"/>
                <w:szCs w:val="24"/>
                <w:lang w:val="ru-RU"/>
              </w:rPr>
              <w:t>-</w:t>
            </w:r>
            <w:r w:rsidRPr="006456F8">
              <w:rPr>
                <w:b/>
                <w:sz w:val="24"/>
                <w:szCs w:val="24"/>
              </w:rPr>
              <w:t>вання 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2693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b/>
                <w:sz w:val="24"/>
                <w:szCs w:val="24"/>
              </w:rPr>
              <w:t>Очікуваний результат </w:t>
            </w:r>
          </w:p>
        </w:tc>
      </w:tr>
      <w:tr w:rsidR="00D87D37" w:rsidRPr="00FF223E" w:rsidTr="006456F8">
        <w:trPr>
          <w:trHeight w:val="405"/>
        </w:trPr>
        <w:tc>
          <w:tcPr>
            <w:tcW w:w="397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Поліпшення умов знаходження   у кімнаті знаходження мережевого обладнання, у кімнаті чергової служби, у залі засідання Лозівського ВП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( загальний – 10,0, спеціальний – 20,0)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840478">
            <w:pPr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закупку та встановлення кімнаті знаходження мережевого обладнання, у кімнаті чергової служби, у залі засідання Лозівського ВП побутову техніку - кондиціонери.</w:t>
            </w: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2020</w:t>
            </w:r>
          </w:p>
        </w:tc>
        <w:tc>
          <w:tcPr>
            <w:tcW w:w="2835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трансфертів), ГУНП в Харківській області, Лозівський ВП ГУНП в Харківській області</w:t>
            </w:r>
          </w:p>
        </w:tc>
        <w:tc>
          <w:tcPr>
            <w:tcW w:w="1276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10,0</w:t>
            </w:r>
          </w:p>
        </w:tc>
        <w:tc>
          <w:tcPr>
            <w:tcW w:w="2693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</w:t>
            </w:r>
          </w:p>
        </w:tc>
      </w:tr>
      <w:tr w:rsidR="00D87D37" w:rsidRPr="00FF223E" w:rsidTr="006456F8">
        <w:trPr>
          <w:trHeight w:val="414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2021</w:t>
            </w: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20,0</w:t>
            </w: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1255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2055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165"/>
        </w:trPr>
        <w:tc>
          <w:tcPr>
            <w:tcW w:w="397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Поліпшення умов знаходження у робочих кабінетах працівників Лозівського ВП.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( загальний фонд)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Провести закупку офісних меблів (стіл, стілець).</w:t>
            </w: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2020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трансфертів), ГУНП в Харківській області, Лозівський ВП ГУНП в Харківській області</w:t>
            </w:r>
          </w:p>
        </w:tc>
        <w:tc>
          <w:tcPr>
            <w:tcW w:w="1276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25,0</w:t>
            </w:r>
          </w:p>
        </w:tc>
        <w:tc>
          <w:tcPr>
            <w:tcW w:w="2693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ind w:right="-25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Виконати вимоги Європейської конвенції про захист прав людини і основоположних свобод, дотримання  прав і законних інтересів громадян,  поліпшити умови для якісного розгляду заяв та повідомлень громадян.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ind w:right="-250"/>
              <w:rPr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15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2021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25,0</w:t>
            </w: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225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2022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25,0</w:t>
            </w: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562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480"/>
        </w:trPr>
        <w:tc>
          <w:tcPr>
            <w:tcW w:w="397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оперативного реагування на повідомлення про злочини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( </w:t>
            </w:r>
            <w:r w:rsidRPr="006456F8">
              <w:rPr>
                <w:b/>
                <w:sz w:val="24"/>
                <w:szCs w:val="24"/>
              </w:rPr>
              <w:t>загальний</w:t>
            </w:r>
            <w:r w:rsidRPr="006456F8">
              <w:rPr>
                <w:sz w:val="24"/>
                <w:szCs w:val="24"/>
              </w:rPr>
              <w:t xml:space="preserve"> – 45,0               ( по 15 тис.грн. щорічно), </w:t>
            </w:r>
            <w:r w:rsidRPr="006456F8">
              <w:rPr>
                <w:b/>
                <w:sz w:val="24"/>
                <w:szCs w:val="24"/>
              </w:rPr>
              <w:t>спеціальни</w:t>
            </w:r>
            <w:r w:rsidRPr="006456F8">
              <w:rPr>
                <w:sz w:val="24"/>
                <w:szCs w:val="24"/>
              </w:rPr>
              <w:t xml:space="preserve">й </w:t>
            </w:r>
            <w:r w:rsidRPr="006456F8">
              <w:rPr>
                <w:color w:val="000000"/>
                <w:sz w:val="24"/>
                <w:szCs w:val="24"/>
              </w:rPr>
              <w:t>–45,0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( по 15 тис.грн. щорічно)</w:t>
            </w:r>
            <w:r w:rsidRPr="006456F8">
              <w:rPr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A42EE7">
            <w:pPr>
              <w:rPr>
                <w:b/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Вжити комплекс заходів щодо оснащення дільничних інспекторів та СРПП Лозівського ВП планшетними пристроями та багатофункціональ-ними пристроями</w:t>
            </w: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2020</w:t>
            </w:r>
          </w:p>
        </w:tc>
        <w:tc>
          <w:tcPr>
            <w:tcW w:w="2835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трансфертів), ГУНП в Харківській області, Лозівський ВП ГУНП в Харківській області</w:t>
            </w:r>
          </w:p>
        </w:tc>
        <w:tc>
          <w:tcPr>
            <w:tcW w:w="1276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color w:val="000000"/>
                <w:sz w:val="24"/>
                <w:szCs w:val="24"/>
              </w:rPr>
            </w:pPr>
            <w:r w:rsidRPr="006456F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693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color w:val="FF0000"/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Забезпечити оперативне реагування на повідомлення про злочини</w:t>
            </w:r>
          </w:p>
        </w:tc>
      </w:tr>
      <w:tr w:rsidR="00D87D37" w:rsidRPr="00FF223E" w:rsidTr="006456F8">
        <w:trPr>
          <w:trHeight w:val="42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2021</w:t>
            </w: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color w:val="000000"/>
                <w:sz w:val="24"/>
                <w:szCs w:val="24"/>
              </w:rPr>
            </w:pPr>
            <w:r w:rsidRPr="006456F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48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2022</w:t>
            </w: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color w:val="000000"/>
                <w:sz w:val="24"/>
                <w:szCs w:val="24"/>
              </w:rPr>
            </w:pPr>
            <w:r w:rsidRPr="006456F8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188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87D37" w:rsidRPr="00FF223E" w:rsidTr="006456F8">
        <w:trPr>
          <w:trHeight w:val="315"/>
        </w:trPr>
        <w:tc>
          <w:tcPr>
            <w:tcW w:w="397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службових автомобілів запасними частинами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( загальний фонд)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З метою оперативного реагування на повідомлення про злочини чи правопорушення, негайного виїзду чергової слідчо-оперативної групи на місце злочину та розкриття злочинів по „гарячих слідах”, скоєних на території Лозівської ОТГ, вжиття заходів щодо забезпечення службових автомобілів паливно-мастильними матеріалами, запасними частинами до них.</w:t>
            </w: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2020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трансфертів), ГУНП в Харківській області, Лозівський ВП ГУНП в Харківській області</w:t>
            </w:r>
          </w:p>
        </w:tc>
        <w:tc>
          <w:tcPr>
            <w:tcW w:w="1276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150,0</w:t>
            </w:r>
          </w:p>
        </w:tc>
        <w:tc>
          <w:tcPr>
            <w:tcW w:w="2693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>Оперативне реагування на повідомлення про злочини чи правопорушення, негайний виїзд чергової слідчо-оперативної групи на місце злочину та розкриття злочинів по «гарячих слідах».</w:t>
            </w:r>
          </w:p>
        </w:tc>
      </w:tr>
      <w:tr w:rsidR="00D87D37" w:rsidRPr="00FF223E" w:rsidTr="006456F8">
        <w:trPr>
          <w:trHeight w:val="18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2021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150,0</w:t>
            </w: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87D37" w:rsidRPr="00FF223E" w:rsidTr="006456F8">
        <w:trPr>
          <w:trHeight w:val="33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2022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150,0</w:t>
            </w: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87D37" w:rsidRPr="00FF223E" w:rsidTr="006456F8">
        <w:trPr>
          <w:trHeight w:val="562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87D37" w:rsidRPr="00FF223E" w:rsidTr="006456F8">
        <w:trPr>
          <w:trHeight w:val="562"/>
        </w:trPr>
        <w:tc>
          <w:tcPr>
            <w:tcW w:w="397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0717A8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Проведення поточних ремонтних робіт адміністративної будівлі Лозівського ВП</w:t>
            </w:r>
          </w:p>
          <w:p w:rsidR="00D87D37" w:rsidRPr="006456F8" w:rsidRDefault="00D87D37" w:rsidP="000717A8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( загальний фонд)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2B6114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Проведення необхідних ремонтних робіт адмінбудівлі: А-4: підвальні приміщення, система опалення, встановлення енергозберігаючих вікон; Б-2: дах та кабінети другого поверху, встановлення енергозберігаючих вікон.</w:t>
            </w:r>
          </w:p>
          <w:p w:rsidR="00D87D37" w:rsidRPr="006456F8" w:rsidRDefault="00D87D37" w:rsidP="002B611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en-US"/>
              </w:rPr>
            </w:pPr>
            <w:r w:rsidRPr="006456F8">
              <w:rPr>
                <w:sz w:val="24"/>
                <w:szCs w:val="24"/>
              </w:rPr>
              <w:t>2020</w:t>
            </w:r>
          </w:p>
        </w:tc>
        <w:tc>
          <w:tcPr>
            <w:tcW w:w="2835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трансфертів), ГУНП в Харківській області, Лозівський ВП ГУНП в Харківській області</w:t>
            </w:r>
          </w:p>
        </w:tc>
        <w:tc>
          <w:tcPr>
            <w:tcW w:w="1276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100,00</w:t>
            </w:r>
          </w:p>
        </w:tc>
        <w:tc>
          <w:tcPr>
            <w:tcW w:w="2693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</w:rPr>
            </w:pPr>
            <w:r w:rsidRPr="006456F8">
              <w:rPr>
                <w:sz w:val="24"/>
                <w:szCs w:val="24"/>
              </w:rPr>
              <w:t xml:space="preserve">Створення передумов для максимального доступу громадян ( в тому числі з обмеженими фізичними можливостями) до Лозівського ВП. </w:t>
            </w:r>
          </w:p>
        </w:tc>
      </w:tr>
      <w:tr w:rsidR="00D87D37" w:rsidRPr="00FF223E" w:rsidTr="006456F8">
        <w:trPr>
          <w:trHeight w:val="48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 w:rsidRPr="006456F8">
              <w:rPr>
                <w:sz w:val="24"/>
                <w:szCs w:val="24"/>
                <w:lang w:val="ru-RU"/>
              </w:rPr>
              <w:t>2021</w:t>
            </w: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100,00</w:t>
            </w: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D87D37" w:rsidRPr="00FF223E" w:rsidTr="006456F8">
        <w:trPr>
          <w:trHeight w:val="332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  <w:lang w:val="ru-RU"/>
              </w:rPr>
              <w:t>20</w:t>
            </w:r>
            <w:r w:rsidRPr="006456F8">
              <w:rPr>
                <w:sz w:val="24"/>
                <w:szCs w:val="24"/>
              </w:rPr>
              <w:t>22</w:t>
            </w: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100,00</w:t>
            </w: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D87D37" w:rsidRPr="00FF223E" w:rsidTr="006456F8">
        <w:trPr>
          <w:trHeight w:val="276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D87D37" w:rsidRPr="00FF223E" w:rsidTr="006456F8">
        <w:trPr>
          <w:trHeight w:val="408"/>
        </w:trPr>
        <w:tc>
          <w:tcPr>
            <w:tcW w:w="397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016A7A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Встановлення у приміщеннях суду з найбільшим (масовим) перебуванням (скупченням) відвідувачів суду кондиціонерів (спеціальний фонд)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016A7A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Придбання кондиціонерів для приміщень суду</w:t>
            </w: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2020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Лозівський міськрайонний суд Харківської області, територіальне управління Державної судової адміністрації України у Харківській області</w:t>
            </w:r>
          </w:p>
        </w:tc>
        <w:tc>
          <w:tcPr>
            <w:tcW w:w="1276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250,00</w:t>
            </w:r>
          </w:p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ind w:right="-25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Створення комфортних умов перебування у суді відвідувачів суду.</w:t>
            </w:r>
          </w:p>
        </w:tc>
      </w:tr>
      <w:tr w:rsidR="00D87D37" w:rsidRPr="00FF223E" w:rsidTr="006456F8">
        <w:trPr>
          <w:trHeight w:val="2675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ind w:right="-250"/>
              <w:rPr>
                <w:sz w:val="24"/>
                <w:szCs w:val="24"/>
              </w:rPr>
            </w:pPr>
          </w:p>
        </w:tc>
      </w:tr>
      <w:tr w:rsidR="00D87D37" w:rsidRPr="00FF223E" w:rsidTr="006456F8">
        <w:trPr>
          <w:trHeight w:val="468"/>
        </w:trPr>
        <w:tc>
          <w:tcPr>
            <w:tcW w:w="397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Придбання та встановлення меблів у приміщенні утримання підсудних суду, приміщенні для перебування присяжних. (спеціальний фонд)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8F312F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Придбання меблів у приміщення утримання підсудних ( в камери підсудних та приміщення конвою), перебування присяжних.</w:t>
            </w: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en-US"/>
              </w:rPr>
            </w:pPr>
            <w:r w:rsidRPr="006456F8">
              <w:rPr>
                <w:sz w:val="24"/>
                <w:szCs w:val="24"/>
              </w:rPr>
              <w:t>2021</w:t>
            </w:r>
          </w:p>
        </w:tc>
        <w:tc>
          <w:tcPr>
            <w:tcW w:w="2835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Лозівський міськрайонний суд Харківської області, територіальне управління Державної судової адміністрації України у Харківській області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250,00</w:t>
            </w:r>
          </w:p>
        </w:tc>
        <w:tc>
          <w:tcPr>
            <w:tcW w:w="2693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Створення належних умов перебування у приміщенні підсудних конвою, підсудних. Приведення приміщення у відповідність до норм утримання.</w:t>
            </w:r>
          </w:p>
        </w:tc>
      </w:tr>
      <w:tr w:rsidR="00D87D37" w:rsidRPr="00FF223E" w:rsidTr="006456F8">
        <w:trPr>
          <w:trHeight w:val="311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</w:tr>
      <w:tr w:rsidR="00D87D37" w:rsidRPr="00FF223E" w:rsidTr="006456F8">
        <w:trPr>
          <w:trHeight w:val="405"/>
        </w:trPr>
        <w:tc>
          <w:tcPr>
            <w:tcW w:w="397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Проведення необхідних ремонтних робіт по здійсненню ремонту зали судових засідань суду. </w:t>
            </w:r>
          </w:p>
          <w:p w:rsidR="00D87D37" w:rsidRPr="006456F8" w:rsidRDefault="00D87D37" w:rsidP="00245C09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(спеціальний фонд)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Проведення поточних ремонтних робіт адміністративної будівлі суду</w:t>
            </w: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2022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Лозівський міськрайонний суд Харківської області, територіальне управління Державної судової адміністрації України у Харківській області.</w:t>
            </w:r>
          </w:p>
        </w:tc>
        <w:tc>
          <w:tcPr>
            <w:tcW w:w="1276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8"/>
                <w:szCs w:val="28"/>
              </w:rPr>
            </w:pPr>
            <w:r w:rsidRPr="006456F8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250,00</w:t>
            </w:r>
          </w:p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Створення належних комфортних умов перебування у залах судових засідань: суддів, присяжних, свідків та обвинувачених. Приведення приміщень у відповідність до норм ДБН.</w:t>
            </w:r>
          </w:p>
        </w:tc>
      </w:tr>
      <w:tr w:rsidR="00D87D37" w:rsidRPr="00FF223E" w:rsidTr="006456F8">
        <w:trPr>
          <w:trHeight w:val="4689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245C0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</w:tr>
      <w:tr w:rsidR="00D87D37" w:rsidRPr="00FF223E" w:rsidTr="006456F8">
        <w:trPr>
          <w:trHeight w:val="435"/>
        </w:trPr>
        <w:tc>
          <w:tcPr>
            <w:tcW w:w="397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Забезпечити придбання транспортного засобу особовому складу для виконання завдань протидії диверсійним та терористичним проявам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(спеціальний фонд)       </w:t>
            </w:r>
          </w:p>
        </w:tc>
        <w:tc>
          <w:tcPr>
            <w:tcW w:w="2268" w:type="dxa"/>
            <w:vMerge w:val="restart"/>
          </w:tcPr>
          <w:p w:rsidR="00D87D37" w:rsidRPr="006456F8" w:rsidRDefault="00D87D37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Придбання </w:t>
            </w:r>
          </w:p>
          <w:p w:rsidR="00D87D37" w:rsidRPr="006456F8" w:rsidRDefault="00D87D37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транспортного засобу</w:t>
            </w:r>
          </w:p>
          <w:p w:rsidR="00D87D37" w:rsidRPr="006456F8" w:rsidRDefault="00D87D37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456F8">
              <w:rPr>
                <w:bCs/>
                <w:sz w:val="24"/>
                <w:szCs w:val="24"/>
              </w:rPr>
              <w:t>та забезпечення придбання спеціального обладнання , телевізійного та аудіовізуального обладнання, апаратури для запису та відтворення аудіо, відео матеріалу, мережевого обладнання , компьютерної техніки</w:t>
            </w: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2020</w:t>
            </w:r>
          </w:p>
        </w:tc>
        <w:tc>
          <w:tcPr>
            <w:tcW w:w="2835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  <w:r w:rsidRPr="006456F8">
              <w:rPr>
                <w:sz w:val="24"/>
                <w:szCs w:val="24"/>
                <w:shd w:val="clear" w:color="auto" w:fill="FFFFFF"/>
              </w:rPr>
              <w:t>Управління</w:t>
            </w:r>
            <w:r w:rsidRPr="006456F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6456F8">
              <w:rPr>
                <w:rStyle w:val="Emphasis"/>
                <w:bCs/>
                <w:i w:val="0"/>
                <w:iCs/>
                <w:sz w:val="24"/>
                <w:szCs w:val="24"/>
                <w:shd w:val="clear" w:color="auto" w:fill="FFFFFF"/>
              </w:rPr>
              <w:t>Служби безпеки України в Харківській області,</w:t>
            </w:r>
            <w:r w:rsidRPr="006456F8">
              <w:rPr>
                <w:rStyle w:val="Emphasis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6456F8">
              <w:rPr>
                <w:bCs/>
                <w:sz w:val="24"/>
                <w:szCs w:val="24"/>
              </w:rPr>
              <w:t xml:space="preserve"> Лозівський міжрайонний відділ Управління Служби безпеки України в Харківській області.</w:t>
            </w:r>
            <w:r w:rsidRPr="006456F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150,0</w:t>
            </w:r>
          </w:p>
        </w:tc>
        <w:tc>
          <w:tcPr>
            <w:tcW w:w="2693" w:type="dxa"/>
            <w:vMerge w:val="restart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6456F8">
              <w:rPr>
                <w:sz w:val="24"/>
                <w:szCs w:val="24"/>
              </w:rPr>
              <w:t>Забезпечення умов праці та оперативного реагування на можливі терористичні прояви та інші загрози державної безпеки</w:t>
            </w:r>
          </w:p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D87D37" w:rsidRPr="00FF223E" w:rsidTr="006456F8">
        <w:trPr>
          <w:trHeight w:val="2950"/>
        </w:trPr>
        <w:tc>
          <w:tcPr>
            <w:tcW w:w="397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7D37" w:rsidRPr="006456F8" w:rsidRDefault="00D87D37" w:rsidP="006456F8">
            <w:pPr>
              <w:widowControl w:val="0"/>
              <w:shd w:val="clear" w:color="auto" w:fill="FFFFFF"/>
              <w:tabs>
                <w:tab w:val="num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87D37" w:rsidRPr="006456F8" w:rsidRDefault="00D87D37" w:rsidP="006456F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87D37" w:rsidRPr="006456F8" w:rsidRDefault="00D87D37" w:rsidP="006456F8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D87D37" w:rsidRDefault="00D87D37" w:rsidP="000B4D60">
      <w:pPr>
        <w:jc w:val="both"/>
        <w:rPr>
          <w:b/>
          <w:sz w:val="28"/>
          <w:szCs w:val="28"/>
        </w:rPr>
      </w:pPr>
      <w:r w:rsidRPr="00FF223E">
        <w:rPr>
          <w:b/>
          <w:sz w:val="28"/>
          <w:szCs w:val="28"/>
        </w:rPr>
        <w:t xml:space="preserve">                                  </w:t>
      </w:r>
    </w:p>
    <w:p w:rsidR="00D87D37" w:rsidRDefault="00D87D37" w:rsidP="000B4D60">
      <w:pPr>
        <w:jc w:val="both"/>
        <w:rPr>
          <w:b/>
          <w:sz w:val="28"/>
          <w:szCs w:val="28"/>
        </w:rPr>
      </w:pPr>
    </w:p>
    <w:p w:rsidR="00D87D37" w:rsidRPr="00FF223E" w:rsidRDefault="00D87D37" w:rsidP="000B4D60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D87D37" w:rsidRPr="00A3156D" w:rsidRDefault="00D87D37" w:rsidP="003B41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A3156D">
        <w:rPr>
          <w:b/>
          <w:sz w:val="28"/>
          <w:szCs w:val="28"/>
        </w:rPr>
        <w:t xml:space="preserve">     Секретар міської ради</w:t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</w:r>
      <w:r w:rsidRPr="00A3156D">
        <w:rPr>
          <w:b/>
          <w:sz w:val="28"/>
          <w:szCs w:val="28"/>
        </w:rPr>
        <w:tab/>
        <w:t xml:space="preserve">                                                   С.О. Коба</w:t>
      </w:r>
    </w:p>
    <w:p w:rsidR="00D87D37" w:rsidRDefault="00D87D37" w:rsidP="000B4D60">
      <w:pPr>
        <w:jc w:val="both"/>
        <w:rPr>
          <w:sz w:val="28"/>
          <w:szCs w:val="28"/>
        </w:rPr>
      </w:pPr>
    </w:p>
    <w:p w:rsidR="00D87D37" w:rsidRPr="003B4188" w:rsidRDefault="00D87D37" w:rsidP="000B4D60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r w:rsidRPr="003B4188">
        <w:rPr>
          <w:sz w:val="22"/>
          <w:szCs w:val="22"/>
        </w:rPr>
        <w:t>Дерев’янко</w:t>
      </w:r>
      <w:r>
        <w:rPr>
          <w:sz w:val="22"/>
          <w:szCs w:val="22"/>
        </w:rPr>
        <w:t>, 2-27-05</w:t>
      </w:r>
    </w:p>
    <w:p w:rsidR="00D87D37" w:rsidRPr="00FF223E" w:rsidRDefault="00D87D37" w:rsidP="000B4D60">
      <w:pPr>
        <w:ind w:left="851"/>
      </w:pPr>
    </w:p>
    <w:sectPr w:rsidR="00D87D37" w:rsidRPr="00FF223E" w:rsidSect="00D3431A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B0B"/>
    <w:rsid w:val="00013D7B"/>
    <w:rsid w:val="00016A7A"/>
    <w:rsid w:val="000279E3"/>
    <w:rsid w:val="00034ACD"/>
    <w:rsid w:val="000508E4"/>
    <w:rsid w:val="00052256"/>
    <w:rsid w:val="000717A8"/>
    <w:rsid w:val="000B4D60"/>
    <w:rsid w:val="000D182A"/>
    <w:rsid w:val="000F336F"/>
    <w:rsid w:val="00114EC5"/>
    <w:rsid w:val="00115FC4"/>
    <w:rsid w:val="00157025"/>
    <w:rsid w:val="001873C3"/>
    <w:rsid w:val="001F47E2"/>
    <w:rsid w:val="00236E14"/>
    <w:rsid w:val="00245C09"/>
    <w:rsid w:val="002705E2"/>
    <w:rsid w:val="002B6114"/>
    <w:rsid w:val="003278B7"/>
    <w:rsid w:val="00334B33"/>
    <w:rsid w:val="003A2260"/>
    <w:rsid w:val="003A4E51"/>
    <w:rsid w:val="003B4188"/>
    <w:rsid w:val="003D60AE"/>
    <w:rsid w:val="004174AE"/>
    <w:rsid w:val="0048156B"/>
    <w:rsid w:val="004C10D9"/>
    <w:rsid w:val="004C1420"/>
    <w:rsid w:val="004E2433"/>
    <w:rsid w:val="00505A83"/>
    <w:rsid w:val="00526B9A"/>
    <w:rsid w:val="0056381C"/>
    <w:rsid w:val="006456F8"/>
    <w:rsid w:val="006710FF"/>
    <w:rsid w:val="006818D2"/>
    <w:rsid w:val="008232D3"/>
    <w:rsid w:val="00840478"/>
    <w:rsid w:val="00841D29"/>
    <w:rsid w:val="008715D6"/>
    <w:rsid w:val="00873022"/>
    <w:rsid w:val="008860A9"/>
    <w:rsid w:val="00893F5A"/>
    <w:rsid w:val="008D7F4F"/>
    <w:rsid w:val="008F312F"/>
    <w:rsid w:val="00902EA0"/>
    <w:rsid w:val="00940FDE"/>
    <w:rsid w:val="009417B8"/>
    <w:rsid w:val="00942550"/>
    <w:rsid w:val="00957345"/>
    <w:rsid w:val="00997633"/>
    <w:rsid w:val="009E4C15"/>
    <w:rsid w:val="009E68F9"/>
    <w:rsid w:val="00A01387"/>
    <w:rsid w:val="00A065EF"/>
    <w:rsid w:val="00A3156D"/>
    <w:rsid w:val="00A42EE7"/>
    <w:rsid w:val="00A77834"/>
    <w:rsid w:val="00AB1773"/>
    <w:rsid w:val="00AE07A6"/>
    <w:rsid w:val="00B0683F"/>
    <w:rsid w:val="00B2616C"/>
    <w:rsid w:val="00BB16D0"/>
    <w:rsid w:val="00CB45E4"/>
    <w:rsid w:val="00CB4EE8"/>
    <w:rsid w:val="00D045F7"/>
    <w:rsid w:val="00D25291"/>
    <w:rsid w:val="00D3431A"/>
    <w:rsid w:val="00D3705D"/>
    <w:rsid w:val="00D45049"/>
    <w:rsid w:val="00D87D37"/>
    <w:rsid w:val="00D96BF2"/>
    <w:rsid w:val="00DA03A3"/>
    <w:rsid w:val="00DD4FAC"/>
    <w:rsid w:val="00DE4D7C"/>
    <w:rsid w:val="00E578AA"/>
    <w:rsid w:val="00E90896"/>
    <w:rsid w:val="00ED4181"/>
    <w:rsid w:val="00EF4B0B"/>
    <w:rsid w:val="00F016F9"/>
    <w:rsid w:val="00FB4242"/>
    <w:rsid w:val="00FC3042"/>
    <w:rsid w:val="00FD4AAB"/>
    <w:rsid w:val="00FD5578"/>
    <w:rsid w:val="00FF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60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0B4D60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4D60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TableGrid">
    <w:name w:val="Table Grid"/>
    <w:basedOn w:val="TableNormal"/>
    <w:uiPriority w:val="99"/>
    <w:rsid w:val="000B4D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417B8"/>
  </w:style>
  <w:style w:type="character" w:styleId="Emphasis">
    <w:name w:val="Emphasis"/>
    <w:basedOn w:val="DefaultParagraphFont"/>
    <w:uiPriority w:val="99"/>
    <w:qFormat/>
    <w:rsid w:val="009417B8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E908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01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1387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358</TotalTime>
  <Pages>6</Pages>
  <Words>1027</Words>
  <Characters>5860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60</cp:revision>
  <cp:lastPrinted>2019-10-25T10:00:00Z</cp:lastPrinted>
  <dcterms:created xsi:type="dcterms:W3CDTF">2017-01-18T09:27:00Z</dcterms:created>
  <dcterms:modified xsi:type="dcterms:W3CDTF">2019-10-25T10:01:00Z</dcterms:modified>
</cp:coreProperties>
</file>