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A8" w:rsidRPr="00115027" w:rsidRDefault="00672DA8" w:rsidP="0062758A">
      <w:pPr>
        <w:widowControl w:val="0"/>
        <w:autoSpaceDE w:val="0"/>
        <w:autoSpaceDN w:val="0"/>
        <w:ind w:left="5387"/>
        <w:jc w:val="center"/>
        <w:outlineLvl w:val="0"/>
        <w:rPr>
          <w:bCs/>
          <w:kern w:val="0"/>
          <w:sz w:val="24"/>
          <w:szCs w:val="24"/>
        </w:rPr>
      </w:pPr>
      <w:r w:rsidRPr="00115027">
        <w:rPr>
          <w:bCs/>
          <w:kern w:val="0"/>
          <w:sz w:val="24"/>
          <w:szCs w:val="24"/>
        </w:rPr>
        <w:t>ЗАТВЕРДЖЕНО</w:t>
      </w:r>
    </w:p>
    <w:p w:rsidR="00672DA8" w:rsidRPr="00115027" w:rsidRDefault="00672DA8" w:rsidP="0062758A">
      <w:pPr>
        <w:widowControl w:val="0"/>
        <w:autoSpaceDE w:val="0"/>
        <w:autoSpaceDN w:val="0"/>
        <w:ind w:left="5387"/>
        <w:jc w:val="center"/>
        <w:outlineLvl w:val="0"/>
        <w:rPr>
          <w:bCs/>
          <w:kern w:val="0"/>
          <w:sz w:val="24"/>
          <w:szCs w:val="24"/>
        </w:rPr>
      </w:pPr>
      <w:r w:rsidRPr="00115027">
        <w:rPr>
          <w:bCs/>
          <w:kern w:val="0"/>
          <w:sz w:val="24"/>
          <w:szCs w:val="24"/>
        </w:rPr>
        <w:t xml:space="preserve">рішенням виконавчого комітету </w:t>
      </w:r>
      <w:r>
        <w:rPr>
          <w:bCs/>
          <w:kern w:val="0"/>
          <w:sz w:val="24"/>
          <w:szCs w:val="24"/>
        </w:rPr>
        <w:br/>
      </w:r>
      <w:r w:rsidRPr="00115027">
        <w:rPr>
          <w:bCs/>
          <w:kern w:val="0"/>
          <w:sz w:val="24"/>
          <w:szCs w:val="24"/>
        </w:rPr>
        <w:t xml:space="preserve">від </w:t>
      </w:r>
      <w:r>
        <w:rPr>
          <w:bCs/>
          <w:kern w:val="0"/>
          <w:sz w:val="24"/>
          <w:szCs w:val="24"/>
        </w:rPr>
        <w:t xml:space="preserve">26 серпня 2025 </w:t>
      </w:r>
      <w:r w:rsidRPr="00115027">
        <w:rPr>
          <w:bCs/>
          <w:kern w:val="0"/>
          <w:sz w:val="24"/>
          <w:szCs w:val="24"/>
        </w:rPr>
        <w:t xml:space="preserve"> №</w:t>
      </w:r>
      <w:r>
        <w:rPr>
          <w:bCs/>
          <w:kern w:val="0"/>
          <w:sz w:val="24"/>
          <w:szCs w:val="24"/>
        </w:rPr>
        <w:t xml:space="preserve"> 1212</w:t>
      </w:r>
    </w:p>
    <w:p w:rsidR="00672DA8" w:rsidRDefault="00672DA8" w:rsidP="000F67F9">
      <w:pPr>
        <w:jc w:val="center"/>
        <w:rPr>
          <w:b/>
          <w:sz w:val="24"/>
          <w:szCs w:val="24"/>
        </w:rPr>
      </w:pPr>
    </w:p>
    <w:p w:rsidR="00672DA8" w:rsidRPr="0062758A" w:rsidRDefault="00672DA8" w:rsidP="0062758A">
      <w:pPr>
        <w:ind w:left="4962"/>
        <w:jc w:val="center"/>
        <w:rPr>
          <w:bCs/>
          <w:sz w:val="24"/>
          <w:szCs w:val="24"/>
        </w:rPr>
      </w:pPr>
      <w:r w:rsidRPr="0062758A">
        <w:rPr>
          <w:bCs/>
          <w:sz w:val="24"/>
          <w:szCs w:val="24"/>
        </w:rPr>
        <w:t>СХВАЛЕНО</w:t>
      </w:r>
    </w:p>
    <w:p w:rsidR="00672DA8" w:rsidRPr="0062758A" w:rsidRDefault="00672DA8" w:rsidP="0062758A">
      <w:pPr>
        <w:ind w:left="4962"/>
        <w:jc w:val="center"/>
        <w:rPr>
          <w:bCs/>
          <w:sz w:val="24"/>
          <w:szCs w:val="24"/>
        </w:rPr>
      </w:pPr>
      <w:r w:rsidRPr="0062758A">
        <w:rPr>
          <w:bCs/>
          <w:sz w:val="24"/>
          <w:szCs w:val="24"/>
        </w:rPr>
        <w:t>місцевою інвестиційною радою Лозівської міської територіальної громади</w:t>
      </w:r>
    </w:p>
    <w:p w:rsidR="00672DA8" w:rsidRPr="0062758A" w:rsidRDefault="00672DA8" w:rsidP="0062758A">
      <w:pPr>
        <w:ind w:left="4962"/>
        <w:jc w:val="center"/>
        <w:rPr>
          <w:bCs/>
          <w:sz w:val="24"/>
          <w:szCs w:val="24"/>
        </w:rPr>
      </w:pPr>
      <w:r w:rsidRPr="0062758A">
        <w:rPr>
          <w:bCs/>
          <w:sz w:val="24"/>
          <w:szCs w:val="24"/>
        </w:rPr>
        <w:t>на засіданні 19.08.2025</w:t>
      </w:r>
    </w:p>
    <w:p w:rsidR="00672DA8" w:rsidRDefault="00672DA8" w:rsidP="000F67F9">
      <w:pPr>
        <w:jc w:val="center"/>
        <w:rPr>
          <w:b/>
          <w:sz w:val="24"/>
          <w:szCs w:val="24"/>
        </w:rPr>
      </w:pPr>
    </w:p>
    <w:p w:rsidR="00672DA8" w:rsidRPr="00115027" w:rsidRDefault="00672DA8" w:rsidP="000F67F9">
      <w:pPr>
        <w:jc w:val="center"/>
        <w:rPr>
          <w:b/>
          <w:sz w:val="24"/>
          <w:szCs w:val="24"/>
        </w:rPr>
      </w:pPr>
    </w:p>
    <w:p w:rsidR="00672DA8" w:rsidRPr="00D17334" w:rsidRDefault="00672DA8" w:rsidP="000F67F9">
      <w:pPr>
        <w:jc w:val="center"/>
        <w:rPr>
          <w:b/>
          <w:szCs w:val="28"/>
        </w:rPr>
      </w:pPr>
      <w:r w:rsidRPr="00D17334">
        <w:rPr>
          <w:b/>
          <w:szCs w:val="28"/>
        </w:rPr>
        <w:t>СЕРЕДНЬОСТРОКОВИЙ ПЛАН</w:t>
      </w:r>
    </w:p>
    <w:p w:rsidR="00672DA8" w:rsidRPr="00D17334" w:rsidRDefault="00672DA8" w:rsidP="000F67F9">
      <w:pPr>
        <w:jc w:val="center"/>
        <w:rPr>
          <w:b/>
          <w:szCs w:val="28"/>
        </w:rPr>
      </w:pPr>
      <w:r w:rsidRPr="00D17334">
        <w:rPr>
          <w:b/>
          <w:szCs w:val="28"/>
        </w:rPr>
        <w:t>пріоритетних публічних інвестицій Лозівської міської територіальної громади</w:t>
      </w:r>
    </w:p>
    <w:p w:rsidR="00672DA8" w:rsidRPr="00D17334" w:rsidRDefault="00672DA8" w:rsidP="000F67F9">
      <w:pPr>
        <w:jc w:val="center"/>
        <w:rPr>
          <w:b/>
          <w:szCs w:val="28"/>
        </w:rPr>
      </w:pPr>
      <w:r w:rsidRPr="00D17334">
        <w:rPr>
          <w:b/>
          <w:szCs w:val="28"/>
        </w:rPr>
        <w:t>на2026-2028 роки</w:t>
      </w:r>
    </w:p>
    <w:p w:rsidR="00672DA8" w:rsidRPr="00D17334" w:rsidRDefault="00672DA8" w:rsidP="001A57CF">
      <w:pPr>
        <w:spacing w:before="120" w:after="120"/>
        <w:jc w:val="center"/>
        <w:rPr>
          <w:b/>
          <w:szCs w:val="28"/>
        </w:rPr>
      </w:pPr>
      <w:r w:rsidRPr="00D17334">
        <w:rPr>
          <w:b/>
          <w:szCs w:val="28"/>
        </w:rPr>
        <w:t>І. ЗАГАЛЬНА ЧАСТИНА</w:t>
      </w:r>
    </w:p>
    <w:p w:rsidR="00672DA8" w:rsidRPr="00D17334" w:rsidRDefault="00672DA8" w:rsidP="00115027">
      <w:pPr>
        <w:ind w:firstLine="567"/>
        <w:rPr>
          <w:bCs/>
          <w:szCs w:val="28"/>
        </w:rPr>
      </w:pPr>
      <w:r w:rsidRPr="00D17334">
        <w:rPr>
          <w:szCs w:val="28"/>
        </w:rPr>
        <w:t>Середньостроковий план пріоритетних публічних інвестицій Лозівської міської територіальної громади (далі – середньостроковий план) розроблено відповідно до статті 75</w:t>
      </w:r>
      <w:r w:rsidRPr="00D17334">
        <w:rPr>
          <w:szCs w:val="28"/>
          <w:vertAlign w:val="superscript"/>
        </w:rPr>
        <w:t>2</w:t>
      </w:r>
      <w:r w:rsidRPr="00D17334">
        <w:rPr>
          <w:szCs w:val="28"/>
        </w:rPr>
        <w:t xml:space="preserve"> Бюджетного кодексу України, Закону України «Про місцеве самоврядування в Україні», Закону України «Про державне прогнозування та планування економічного і соціального розвитку України», </w:t>
      </w:r>
      <w:r w:rsidRPr="00D17334">
        <w:rPr>
          <w:bCs/>
          <w:szCs w:val="28"/>
        </w:rPr>
        <w:t>Порядку розроблення та моніторингу реалізації середньострокового плану пріоритетних публічних інвестицій держави, затвердженого</w:t>
      </w:r>
      <w:r w:rsidRPr="00D17334">
        <w:rPr>
          <w:szCs w:val="28"/>
        </w:rPr>
        <w:t xml:space="preserve"> постановою </w:t>
      </w:r>
      <w:r w:rsidRPr="00D17334">
        <w:rPr>
          <w:bCs/>
          <w:szCs w:val="28"/>
        </w:rPr>
        <w:t xml:space="preserve">Кабінету Міністрів України від 28 лютого 2025 року № 294, </w:t>
      </w:r>
      <w:r w:rsidRPr="00D17334">
        <w:rPr>
          <w:szCs w:val="28"/>
        </w:rPr>
        <w:t xml:space="preserve">постанови </w:t>
      </w:r>
      <w:r w:rsidRPr="00D17334">
        <w:rPr>
          <w:bCs/>
          <w:szCs w:val="28"/>
        </w:rPr>
        <w:t xml:space="preserve">Кабінету Міністрів України від 14 травня 2024 року № 549 «Про утворення Стратегічної інвестиційної ради», </w:t>
      </w:r>
      <w:r w:rsidRPr="00D17334">
        <w:rPr>
          <w:szCs w:val="28"/>
        </w:rPr>
        <w:t xml:space="preserve">постанови </w:t>
      </w:r>
      <w:r w:rsidRPr="00D17334">
        <w:rPr>
          <w:bCs/>
          <w:szCs w:val="28"/>
        </w:rPr>
        <w:t xml:space="preserve">Кабінету Міністрів України </w:t>
      </w:r>
      <w:r w:rsidRPr="00D17334">
        <w:rPr>
          <w:szCs w:val="28"/>
        </w:rPr>
        <w:t xml:space="preserve">від 28 лютого 2025 року № 527 «Деякі питання управління публічними інвестиціями»,постанови </w:t>
      </w:r>
      <w:r w:rsidRPr="00D17334">
        <w:rPr>
          <w:bCs/>
          <w:szCs w:val="28"/>
        </w:rPr>
        <w:t>Кабінету Міністрів України від 28 лютого 2025 року № 232 «Деякі питання розподілу публічних інвестицій», рішень виконавчого комітету міської ради від 12.08.2025 №1081 «Про створення місцевої інвестиційної ради Лозівської міської територіальної громади» та №1082 «Про визначення управління економіки міської ради відповідальним підрозділом з управління публічними інвестиціями Лозівської міської територіальної громади».</w:t>
      </w:r>
    </w:p>
    <w:p w:rsidR="00672DA8" w:rsidRPr="00D17334" w:rsidRDefault="00672DA8" w:rsidP="000F67F9">
      <w:pPr>
        <w:ind w:firstLine="567"/>
        <w:rPr>
          <w:szCs w:val="28"/>
        </w:rPr>
      </w:pPr>
      <w:r w:rsidRPr="00D17334">
        <w:rPr>
          <w:szCs w:val="28"/>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проєктах (далі - проєкт) та програмах публічних інвестицій (далі - програма). </w:t>
      </w:r>
    </w:p>
    <w:p w:rsidR="00672DA8" w:rsidRPr="00D17334" w:rsidRDefault="00672DA8" w:rsidP="000F67F9">
      <w:pPr>
        <w:ind w:firstLine="567"/>
        <w:rPr>
          <w:szCs w:val="28"/>
        </w:rPr>
      </w:pPr>
      <w:r w:rsidRPr="00D17334">
        <w:rPr>
          <w:szCs w:val="28"/>
        </w:rPr>
        <w:t xml:space="preserve">Середньостроковий план визначає: </w:t>
      </w:r>
    </w:p>
    <w:p w:rsidR="00672DA8" w:rsidRPr="00D17334" w:rsidRDefault="00672DA8" w:rsidP="000F67F9">
      <w:pPr>
        <w:tabs>
          <w:tab w:val="left" w:pos="709"/>
        </w:tabs>
        <w:ind w:firstLine="567"/>
        <w:rPr>
          <w:szCs w:val="28"/>
        </w:rPr>
      </w:pPr>
      <w:r w:rsidRPr="00D17334">
        <w:rPr>
          <w:szCs w:val="28"/>
        </w:rPr>
        <w:t xml:space="preserve">наскрізні стратегічні цілі здійснення публічних інвестицій; </w:t>
      </w:r>
    </w:p>
    <w:p w:rsidR="00672DA8" w:rsidRPr="00D17334" w:rsidRDefault="00672DA8" w:rsidP="000F67F9">
      <w:pPr>
        <w:tabs>
          <w:tab w:val="left" w:pos="709"/>
        </w:tabs>
        <w:ind w:firstLine="567"/>
        <w:rPr>
          <w:szCs w:val="28"/>
        </w:rPr>
      </w:pPr>
      <w:r w:rsidRPr="00D17334">
        <w:rPr>
          <w:szCs w:val="28"/>
        </w:rPr>
        <w:t xml:space="preserve">пріоритетні галузі (сектори) для публічного інвестування; </w:t>
      </w:r>
    </w:p>
    <w:p w:rsidR="00672DA8" w:rsidRPr="00D17334" w:rsidRDefault="00672DA8" w:rsidP="000F67F9">
      <w:pPr>
        <w:tabs>
          <w:tab w:val="left" w:pos="709"/>
        </w:tabs>
        <w:ind w:firstLine="567"/>
        <w:rPr>
          <w:szCs w:val="28"/>
        </w:rPr>
      </w:pPr>
      <w:r w:rsidRPr="00D17334">
        <w:rPr>
          <w:szCs w:val="28"/>
        </w:rPr>
        <w:t xml:space="preserve">основні напрями публічного інвестування, цільові показники цих напрямів в розрізі сфер і відповідний орієнтовний розподіл коштів за рахунок різних джерел фінансування; </w:t>
      </w:r>
    </w:p>
    <w:p w:rsidR="00672DA8" w:rsidRPr="00D17334" w:rsidRDefault="00672DA8" w:rsidP="000F67F9">
      <w:pPr>
        <w:tabs>
          <w:tab w:val="left" w:pos="709"/>
        </w:tabs>
        <w:ind w:firstLine="567"/>
        <w:rPr>
          <w:szCs w:val="28"/>
        </w:rPr>
      </w:pPr>
      <w:r w:rsidRPr="00D17334">
        <w:rPr>
          <w:szCs w:val="28"/>
        </w:rPr>
        <w:t xml:space="preserve">підсектори галузей (секторів) для публічного інвестування. </w:t>
      </w:r>
    </w:p>
    <w:p w:rsidR="00672DA8" w:rsidRPr="00D17334" w:rsidRDefault="00672DA8" w:rsidP="000F67F9">
      <w:pPr>
        <w:ind w:firstLine="567"/>
        <w:rPr>
          <w:b/>
          <w:szCs w:val="28"/>
        </w:rPr>
      </w:pPr>
      <w:r w:rsidRPr="00D17334">
        <w:rPr>
          <w:szCs w:val="28"/>
        </w:rPr>
        <w:t xml:space="preserve">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672DA8" w:rsidRPr="00D17334" w:rsidRDefault="00672DA8" w:rsidP="001A57CF">
      <w:pPr>
        <w:pStyle w:val="ListParagraph"/>
        <w:spacing w:before="120" w:after="120"/>
        <w:ind w:left="0"/>
        <w:jc w:val="center"/>
        <w:rPr>
          <w:b/>
          <w:szCs w:val="28"/>
        </w:rPr>
      </w:pPr>
      <w:r w:rsidRPr="00D17334">
        <w:rPr>
          <w:b/>
          <w:szCs w:val="28"/>
        </w:rPr>
        <w:t>ІІ. ОПИСОВА ЧАСТИНА</w:t>
      </w:r>
    </w:p>
    <w:p w:rsidR="00672DA8" w:rsidRPr="00D17334" w:rsidRDefault="00672DA8" w:rsidP="00E22E5A">
      <w:pPr>
        <w:ind w:firstLine="567"/>
        <w:rPr>
          <w:szCs w:val="28"/>
        </w:rPr>
      </w:pPr>
      <w:r w:rsidRPr="00D17334">
        <w:rPr>
          <w:szCs w:val="28"/>
        </w:rPr>
        <w:t>Середньостроковий план розроблено управлінням економікиЛозівської міської раді на підставі пропозицій структурних підрозділів, розпорядників бюджетних коштів та комунальних установ і підприємств Лозівської міської ради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Фінансовим управлінням Лозівської міської ради.</w:t>
      </w:r>
    </w:p>
    <w:p w:rsidR="00672DA8" w:rsidRPr="00D17334" w:rsidRDefault="00672DA8" w:rsidP="000F67F9">
      <w:pPr>
        <w:ind w:firstLine="567"/>
        <w:rPr>
          <w:szCs w:val="28"/>
        </w:rPr>
      </w:pPr>
      <w:r w:rsidRPr="00D17334">
        <w:rPr>
          <w:szCs w:val="28"/>
        </w:rPr>
        <w:t>Середньостроковий план базується на:</w:t>
      </w:r>
    </w:p>
    <w:p w:rsidR="00672DA8" w:rsidRPr="00D17334" w:rsidRDefault="00672DA8" w:rsidP="000F67F9">
      <w:pPr>
        <w:numPr>
          <w:ilvl w:val="0"/>
          <w:numId w:val="1"/>
        </w:numPr>
        <w:tabs>
          <w:tab w:val="left" w:pos="851"/>
          <w:tab w:val="left" w:pos="993"/>
        </w:tabs>
        <w:spacing w:line="276" w:lineRule="auto"/>
        <w:ind w:left="0" w:firstLine="567"/>
        <w:rPr>
          <w:szCs w:val="28"/>
        </w:rPr>
      </w:pPr>
      <w:r w:rsidRPr="00D17334">
        <w:rPr>
          <w:szCs w:val="28"/>
        </w:rPr>
        <w:t>Державній стратегії регіонального розвитку на 2021-2027 роки;</w:t>
      </w:r>
    </w:p>
    <w:p w:rsidR="00672DA8" w:rsidRPr="00D17334" w:rsidRDefault="00672DA8" w:rsidP="000F67F9">
      <w:pPr>
        <w:numPr>
          <w:ilvl w:val="0"/>
          <w:numId w:val="1"/>
        </w:numPr>
        <w:tabs>
          <w:tab w:val="left" w:pos="851"/>
          <w:tab w:val="left" w:pos="993"/>
        </w:tabs>
        <w:spacing w:line="276" w:lineRule="auto"/>
        <w:ind w:left="0" w:firstLine="567"/>
        <w:rPr>
          <w:szCs w:val="28"/>
        </w:rPr>
      </w:pPr>
      <w:r w:rsidRPr="00D17334">
        <w:rPr>
          <w:szCs w:val="28"/>
        </w:rPr>
        <w:t>Національному плані з енергетики та клімату на період до 2030 року;</w:t>
      </w:r>
    </w:p>
    <w:p w:rsidR="00672DA8" w:rsidRPr="00D17334" w:rsidRDefault="00672DA8" w:rsidP="000F67F9">
      <w:pPr>
        <w:numPr>
          <w:ilvl w:val="0"/>
          <w:numId w:val="1"/>
        </w:numPr>
        <w:tabs>
          <w:tab w:val="left" w:pos="851"/>
          <w:tab w:val="left" w:pos="993"/>
        </w:tabs>
        <w:spacing w:line="276" w:lineRule="auto"/>
        <w:ind w:left="0" w:firstLine="567"/>
        <w:rPr>
          <w:szCs w:val="28"/>
        </w:rPr>
      </w:pPr>
      <w:r w:rsidRPr="00D17334">
        <w:rPr>
          <w:szCs w:val="28"/>
        </w:rPr>
        <w:t>Стратегії розвитку Харківської області на 2021-2027 роки</w:t>
      </w:r>
    </w:p>
    <w:p w:rsidR="00672DA8" w:rsidRPr="00D17334" w:rsidRDefault="00672DA8" w:rsidP="000F67F9">
      <w:pPr>
        <w:numPr>
          <w:ilvl w:val="0"/>
          <w:numId w:val="1"/>
        </w:numPr>
        <w:tabs>
          <w:tab w:val="left" w:pos="851"/>
          <w:tab w:val="left" w:pos="993"/>
        </w:tabs>
        <w:spacing w:line="276" w:lineRule="auto"/>
        <w:ind w:left="0" w:firstLine="567"/>
        <w:rPr>
          <w:szCs w:val="28"/>
        </w:rPr>
      </w:pPr>
      <w:r w:rsidRPr="00D17334">
        <w:rPr>
          <w:szCs w:val="28"/>
        </w:rPr>
        <w:t>Стратегії здоров'я громади Лозiвськоїміськоїтериторіальної громади на 2022-2027рр.</w:t>
      </w:r>
    </w:p>
    <w:p w:rsidR="00672DA8" w:rsidRPr="00D17334" w:rsidRDefault="00672DA8" w:rsidP="000F67F9">
      <w:pPr>
        <w:numPr>
          <w:ilvl w:val="0"/>
          <w:numId w:val="1"/>
        </w:numPr>
        <w:tabs>
          <w:tab w:val="left" w:pos="851"/>
          <w:tab w:val="left" w:pos="993"/>
        </w:tabs>
        <w:spacing w:line="276" w:lineRule="auto"/>
        <w:ind w:left="0" w:firstLine="567"/>
        <w:rPr>
          <w:szCs w:val="28"/>
        </w:rPr>
      </w:pPr>
      <w:r w:rsidRPr="00D17334">
        <w:rPr>
          <w:szCs w:val="28"/>
        </w:rPr>
        <w:t>Стратегії розвитку системи надання соціальних послуг у Лозівській міській територіальній громаді на 2021-2027 роки</w:t>
      </w:r>
    </w:p>
    <w:p w:rsidR="00672DA8" w:rsidRPr="00D17334" w:rsidRDefault="00672DA8" w:rsidP="00856546">
      <w:pPr>
        <w:numPr>
          <w:ilvl w:val="0"/>
          <w:numId w:val="1"/>
        </w:numPr>
        <w:tabs>
          <w:tab w:val="left" w:pos="851"/>
          <w:tab w:val="left" w:pos="993"/>
        </w:tabs>
        <w:spacing w:line="276" w:lineRule="auto"/>
        <w:ind w:left="0" w:firstLine="567"/>
        <w:rPr>
          <w:szCs w:val="28"/>
        </w:rPr>
      </w:pPr>
      <w:r w:rsidRPr="00D17334">
        <w:rPr>
          <w:szCs w:val="28"/>
        </w:rPr>
        <w:t>Програмі комплексного відновлення території Лозівської міської територіальної громади Лозівського району Харківської області</w:t>
      </w:r>
    </w:p>
    <w:p w:rsidR="00672DA8" w:rsidRPr="00D17334" w:rsidRDefault="00672DA8" w:rsidP="000F67F9">
      <w:pPr>
        <w:numPr>
          <w:ilvl w:val="0"/>
          <w:numId w:val="1"/>
        </w:numPr>
        <w:tabs>
          <w:tab w:val="left" w:pos="851"/>
          <w:tab w:val="left" w:pos="993"/>
        </w:tabs>
        <w:spacing w:line="276" w:lineRule="auto"/>
        <w:ind w:left="0" w:firstLine="567"/>
        <w:rPr>
          <w:szCs w:val="28"/>
        </w:rPr>
      </w:pPr>
      <w:r w:rsidRPr="00D17334">
        <w:rPr>
          <w:szCs w:val="28"/>
        </w:rPr>
        <w:t>Програмі економічного і соціального розвитку Лозівської міської територіальної громади на 2026-2028 роки;</w:t>
      </w:r>
    </w:p>
    <w:p w:rsidR="00672DA8" w:rsidRPr="00D17334" w:rsidRDefault="00672DA8" w:rsidP="000F67F9">
      <w:pPr>
        <w:numPr>
          <w:ilvl w:val="0"/>
          <w:numId w:val="1"/>
        </w:numPr>
        <w:tabs>
          <w:tab w:val="left" w:pos="851"/>
          <w:tab w:val="left" w:pos="993"/>
        </w:tabs>
        <w:spacing w:after="200" w:line="276" w:lineRule="auto"/>
        <w:ind w:left="0" w:firstLine="567"/>
        <w:rPr>
          <w:szCs w:val="28"/>
        </w:rPr>
      </w:pPr>
      <w:r w:rsidRPr="00D17334">
        <w:rPr>
          <w:szCs w:val="28"/>
        </w:rPr>
        <w:t>Цілях сталого розвитку, державних та регіональних стратегічних пріоритетах.</w:t>
      </w:r>
    </w:p>
    <w:p w:rsidR="00672DA8" w:rsidRPr="00D17334" w:rsidRDefault="00672DA8" w:rsidP="000F67F9">
      <w:pPr>
        <w:spacing w:after="240"/>
        <w:jc w:val="center"/>
        <w:rPr>
          <w:b/>
          <w:szCs w:val="28"/>
        </w:rPr>
      </w:pPr>
      <w:r w:rsidRPr="00D17334">
        <w:rPr>
          <w:b/>
          <w:szCs w:val="28"/>
        </w:rPr>
        <w:t>ІІІ. НАСКРІЗНІ СТРАТЕГІЧНІ ЦІЛІ ЗДІЙСНЕННЯ ПУБЛІЧНИХ ІНВЕСТИЦІЙ</w:t>
      </w:r>
    </w:p>
    <w:p w:rsidR="00672DA8" w:rsidRPr="00D17334" w:rsidRDefault="00672DA8" w:rsidP="000F67F9">
      <w:pPr>
        <w:ind w:firstLine="567"/>
        <w:rPr>
          <w:szCs w:val="28"/>
        </w:rPr>
      </w:pPr>
      <w:r w:rsidRPr="00D17334">
        <w:rPr>
          <w:szCs w:val="28"/>
        </w:rPr>
        <w:t xml:space="preserve">Наскрізними стратегічними цілями здійснення публічних інвестицій (далі – наскрізні стратегічні цілі) є цілі, що мають міжгалузевий (міжсекторальний) характер, відповідають національним або глобальним пріоритетам розвитку, для досягнення яких об’єднують зусилля органи місцевого самоврядування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 </w:t>
      </w:r>
    </w:p>
    <w:p w:rsidR="00672DA8" w:rsidRPr="00D17334" w:rsidRDefault="00672DA8" w:rsidP="000F67F9">
      <w:pPr>
        <w:ind w:firstLine="567"/>
        <w:rPr>
          <w:szCs w:val="28"/>
        </w:rPr>
      </w:pPr>
      <w:r w:rsidRPr="00D17334">
        <w:rPr>
          <w:szCs w:val="28"/>
        </w:rPr>
        <w:t>Відповідно до Середньострокового плану пріоритетних публічних інвестицій держави на2026-2028 роки наскрізними стратегічними цілями є енергоефективність, гендерна рівність та безбар’єрність. Окрім цього, наскрізними стратегічними цілями Лозівської громади є розвиток економічного потенціалу громади, підвищення якості життя та безпеки мешканців громади, ефективне управління громадою.</w:t>
      </w:r>
    </w:p>
    <w:p w:rsidR="00672DA8" w:rsidRPr="00D17334" w:rsidRDefault="00672DA8" w:rsidP="000F67F9">
      <w:pPr>
        <w:ind w:firstLine="567"/>
        <w:rPr>
          <w:szCs w:val="28"/>
        </w:rPr>
      </w:pPr>
      <w:r w:rsidRPr="00D17334">
        <w:rPr>
          <w:szCs w:val="28"/>
        </w:rPr>
        <w:t>Наскрізні стратегічні цілі мають ключове значення для досягнення сталого розвитку та соціальної справедливості як на рівні держави, так і на рівні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внутрішньо переміщених осіб, осіб з різними функціональними порушеннями, а також людей похилого віку, незалежно від їх статі та соціального статусу.</w:t>
      </w:r>
    </w:p>
    <w:p w:rsidR="00672DA8" w:rsidRPr="00D17334" w:rsidRDefault="00672DA8" w:rsidP="000F67F9">
      <w:pPr>
        <w:spacing w:before="240"/>
        <w:ind w:firstLine="567"/>
        <w:jc w:val="center"/>
        <w:rPr>
          <w:b/>
          <w:szCs w:val="28"/>
        </w:rPr>
      </w:pPr>
      <w:r w:rsidRPr="00D17334">
        <w:rPr>
          <w:b/>
          <w:szCs w:val="28"/>
        </w:rPr>
        <w:t>ІV. ПРІОРИТЕТНІ ГАЛУЗІ (СЕКТОРИ) ДЛЯ ПУБЛІЧНОГО ІНВЕСТУВАННЯ</w:t>
      </w:r>
    </w:p>
    <w:p w:rsidR="00672DA8" w:rsidRPr="00D17334" w:rsidRDefault="00672DA8" w:rsidP="000F67F9">
      <w:pPr>
        <w:spacing w:before="240"/>
        <w:ind w:firstLine="567"/>
        <w:rPr>
          <w:szCs w:val="28"/>
        </w:rPr>
      </w:pPr>
      <w:r w:rsidRPr="00D17334">
        <w:rPr>
          <w:szCs w:val="28"/>
        </w:rPr>
        <w:t>Пріоритетні галузі (сектори) для публічного інвестування, що містяться в середньостроковому плані, є ключовими для громади, та саме на них спрямовуються публічні інвестиції на середньостроковий період.</w:t>
      </w:r>
    </w:p>
    <w:p w:rsidR="00672DA8" w:rsidRPr="00D17334" w:rsidRDefault="00672DA8" w:rsidP="000F67F9">
      <w:pPr>
        <w:ind w:firstLine="567"/>
        <w:rPr>
          <w:szCs w:val="28"/>
        </w:rPr>
      </w:pPr>
      <w:r w:rsidRPr="00D17334">
        <w:rPr>
          <w:szCs w:val="28"/>
        </w:rPr>
        <w:t>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w:t>
      </w:r>
    </w:p>
    <w:p w:rsidR="00672DA8" w:rsidRPr="00D17334" w:rsidRDefault="00672DA8" w:rsidP="000F67F9">
      <w:pPr>
        <w:ind w:firstLine="567"/>
        <w:rPr>
          <w:szCs w:val="28"/>
        </w:rPr>
      </w:pPr>
      <w:r w:rsidRPr="00D17334">
        <w:rPr>
          <w:szCs w:val="28"/>
        </w:rPr>
        <w:t>До пріоритетних галузей (секторів) для публічного інвестування, визначених цим планом, відносяться:</w:t>
      </w:r>
    </w:p>
    <w:p w:rsidR="00672DA8" w:rsidRPr="00D17334" w:rsidRDefault="00672DA8" w:rsidP="002712B3">
      <w:pPr>
        <w:pStyle w:val="ListParagraph"/>
        <w:numPr>
          <w:ilvl w:val="0"/>
          <w:numId w:val="2"/>
        </w:numPr>
        <w:rPr>
          <w:szCs w:val="28"/>
        </w:rPr>
      </w:pPr>
      <w:r w:rsidRPr="00D17334">
        <w:rPr>
          <w:szCs w:val="28"/>
        </w:rPr>
        <w:t>освіта і наука,</w:t>
      </w:r>
    </w:p>
    <w:p w:rsidR="00672DA8" w:rsidRPr="00D17334" w:rsidRDefault="00672DA8" w:rsidP="002712B3">
      <w:pPr>
        <w:pStyle w:val="ListParagraph"/>
        <w:numPr>
          <w:ilvl w:val="0"/>
          <w:numId w:val="2"/>
        </w:numPr>
        <w:rPr>
          <w:szCs w:val="28"/>
        </w:rPr>
      </w:pPr>
      <w:r w:rsidRPr="00D17334">
        <w:rPr>
          <w:szCs w:val="28"/>
        </w:rPr>
        <w:t>муніципальна інфраструктура та послуги,</w:t>
      </w:r>
    </w:p>
    <w:p w:rsidR="00672DA8" w:rsidRPr="00D17334" w:rsidRDefault="00672DA8" w:rsidP="002712B3">
      <w:pPr>
        <w:pStyle w:val="ListParagraph"/>
        <w:numPr>
          <w:ilvl w:val="0"/>
          <w:numId w:val="2"/>
        </w:numPr>
        <w:rPr>
          <w:szCs w:val="28"/>
        </w:rPr>
      </w:pPr>
      <w:r w:rsidRPr="00D17334">
        <w:rPr>
          <w:szCs w:val="28"/>
        </w:rPr>
        <w:t>охорона здоров’я,</w:t>
      </w:r>
    </w:p>
    <w:p w:rsidR="00672DA8" w:rsidRPr="00D17334" w:rsidRDefault="00672DA8" w:rsidP="002712B3">
      <w:pPr>
        <w:pStyle w:val="ListParagraph"/>
        <w:numPr>
          <w:ilvl w:val="0"/>
          <w:numId w:val="2"/>
        </w:numPr>
        <w:rPr>
          <w:szCs w:val="28"/>
        </w:rPr>
      </w:pPr>
      <w:r w:rsidRPr="00D17334">
        <w:rPr>
          <w:szCs w:val="28"/>
        </w:rPr>
        <w:t>соціальна сфера,</w:t>
      </w:r>
    </w:p>
    <w:p w:rsidR="00672DA8" w:rsidRPr="00D17334" w:rsidRDefault="00672DA8" w:rsidP="002712B3">
      <w:pPr>
        <w:pStyle w:val="ListParagraph"/>
        <w:numPr>
          <w:ilvl w:val="0"/>
          <w:numId w:val="2"/>
        </w:numPr>
        <w:rPr>
          <w:szCs w:val="28"/>
        </w:rPr>
      </w:pPr>
      <w:r w:rsidRPr="00D17334">
        <w:rPr>
          <w:szCs w:val="28"/>
        </w:rPr>
        <w:t>громадська безпека,</w:t>
      </w:r>
    </w:p>
    <w:p w:rsidR="00672DA8" w:rsidRPr="00D17334" w:rsidRDefault="00672DA8" w:rsidP="002712B3">
      <w:pPr>
        <w:pStyle w:val="ListParagraph"/>
        <w:numPr>
          <w:ilvl w:val="0"/>
          <w:numId w:val="2"/>
        </w:numPr>
        <w:rPr>
          <w:szCs w:val="28"/>
        </w:rPr>
      </w:pPr>
      <w:r w:rsidRPr="00D17334">
        <w:rPr>
          <w:szCs w:val="28"/>
        </w:rPr>
        <w:t>житло,</w:t>
      </w:r>
    </w:p>
    <w:p w:rsidR="00672DA8" w:rsidRPr="00D17334" w:rsidRDefault="00672DA8" w:rsidP="002712B3">
      <w:pPr>
        <w:pStyle w:val="ListParagraph"/>
        <w:numPr>
          <w:ilvl w:val="0"/>
          <w:numId w:val="2"/>
        </w:numPr>
        <w:rPr>
          <w:szCs w:val="28"/>
        </w:rPr>
      </w:pPr>
      <w:r w:rsidRPr="00D17334">
        <w:rPr>
          <w:szCs w:val="28"/>
        </w:rPr>
        <w:t>транспорт,</w:t>
      </w:r>
    </w:p>
    <w:p w:rsidR="00672DA8" w:rsidRPr="00D17334" w:rsidRDefault="00672DA8" w:rsidP="002712B3">
      <w:pPr>
        <w:pStyle w:val="ListParagraph"/>
        <w:numPr>
          <w:ilvl w:val="0"/>
          <w:numId w:val="2"/>
        </w:numPr>
        <w:rPr>
          <w:szCs w:val="28"/>
        </w:rPr>
      </w:pPr>
      <w:r w:rsidRPr="00D17334">
        <w:rPr>
          <w:szCs w:val="28"/>
        </w:rPr>
        <w:t>енергетика,</w:t>
      </w:r>
    </w:p>
    <w:p w:rsidR="00672DA8" w:rsidRPr="00D17334" w:rsidRDefault="00672DA8" w:rsidP="002712B3">
      <w:pPr>
        <w:pStyle w:val="ListParagraph"/>
        <w:numPr>
          <w:ilvl w:val="0"/>
          <w:numId w:val="2"/>
        </w:numPr>
        <w:rPr>
          <w:szCs w:val="28"/>
        </w:rPr>
      </w:pPr>
      <w:r w:rsidRPr="00D17334">
        <w:rPr>
          <w:szCs w:val="28"/>
        </w:rPr>
        <w:t>культура та інформація,</w:t>
      </w:r>
    </w:p>
    <w:p w:rsidR="00672DA8" w:rsidRPr="00D17334" w:rsidRDefault="00672DA8" w:rsidP="002712B3">
      <w:pPr>
        <w:pStyle w:val="ListParagraph"/>
        <w:numPr>
          <w:ilvl w:val="0"/>
          <w:numId w:val="2"/>
        </w:numPr>
        <w:rPr>
          <w:szCs w:val="28"/>
        </w:rPr>
      </w:pPr>
      <w:r w:rsidRPr="00D17334">
        <w:rPr>
          <w:szCs w:val="28"/>
        </w:rPr>
        <w:t>довкілля,</w:t>
      </w:r>
    </w:p>
    <w:p w:rsidR="00672DA8" w:rsidRPr="00D17334" w:rsidRDefault="00672DA8" w:rsidP="002712B3">
      <w:pPr>
        <w:pStyle w:val="ListParagraph"/>
        <w:numPr>
          <w:ilvl w:val="0"/>
          <w:numId w:val="2"/>
        </w:numPr>
        <w:rPr>
          <w:szCs w:val="28"/>
        </w:rPr>
      </w:pPr>
      <w:r w:rsidRPr="00D17334">
        <w:rPr>
          <w:szCs w:val="28"/>
        </w:rPr>
        <w:t>публічні послуги і пов’язана з ними цифровізація</w:t>
      </w:r>
    </w:p>
    <w:p w:rsidR="00672DA8" w:rsidRPr="00D17334" w:rsidRDefault="00672DA8" w:rsidP="000F67F9">
      <w:pPr>
        <w:ind w:firstLine="567"/>
        <w:rPr>
          <w:szCs w:val="28"/>
        </w:rPr>
      </w:pPr>
      <w:r w:rsidRPr="00D17334">
        <w:rPr>
          <w:szCs w:val="28"/>
        </w:rPr>
        <w:t xml:space="preserve">З метою досягнення стратегічних цілей розвитку Лозівської міської територіальної громади та забезпечення реалізації завдань, спрямованих на розвиток економічного потенціалу громади, підвищення якості життя та безпеки мешканців громади, ефективне управління громадою протягом 2026-2028 років середньостроковим планом пропонується визначити </w:t>
      </w:r>
      <w:r>
        <w:rPr>
          <w:szCs w:val="28"/>
        </w:rPr>
        <w:t>9</w:t>
      </w:r>
      <w:r w:rsidRPr="00D17334">
        <w:rPr>
          <w:szCs w:val="28"/>
        </w:rPr>
        <w:t> ключових (основних) секторів (галузей) для публічного інвестування.</w:t>
      </w:r>
    </w:p>
    <w:p w:rsidR="00672DA8" w:rsidRPr="00D17334" w:rsidRDefault="00672DA8" w:rsidP="00F67729">
      <w:pPr>
        <w:ind w:firstLine="567"/>
        <w:rPr>
          <w:szCs w:val="28"/>
        </w:rPr>
      </w:pPr>
      <w:r w:rsidRPr="00D17334">
        <w:rPr>
          <w:szCs w:val="28"/>
        </w:rPr>
        <w:t>Галузь (сектор) «Освіта і наука» спрямований на модернізацію закладів освіти, покращення їх інфраструктури, забезпечення якості, безпеки та доступності освіти. Публічні інвестиції спрямовуватимуться на створення належних умов для учасників освітнього процесу у закладах освіти, у тому числі щодо цивільного захисту та забезпечення харчуванням відповідно до норм санітарного регламенту.</w:t>
      </w:r>
    </w:p>
    <w:p w:rsidR="00672DA8" w:rsidRPr="00D17334" w:rsidRDefault="00672DA8" w:rsidP="00F67729">
      <w:pPr>
        <w:ind w:firstLine="567"/>
        <w:rPr>
          <w:szCs w:val="28"/>
        </w:rPr>
      </w:pPr>
      <w:r w:rsidRPr="00D17334">
        <w:rPr>
          <w:szCs w:val="28"/>
        </w:rPr>
        <w:t xml:space="preserve">Сектор (галузь) «Муніципальна інфраструктура та послуги» спрямований на модернізацію систем інженерних мереж (водопостачання і водовідведення, теплопостачання, розвиток системи управління відходами) в громаді, впровадження енергозберігаючих заходів в муніципальних будівлях. Крім того, публічні інвестиції будуть спрямовані на розбудову муніципальної інфраструктури, створення безбар'єрних маршрутів у громаді. </w:t>
      </w:r>
    </w:p>
    <w:p w:rsidR="00672DA8" w:rsidRPr="00D17334" w:rsidRDefault="00672DA8" w:rsidP="00F67729">
      <w:pPr>
        <w:ind w:firstLine="567"/>
        <w:rPr>
          <w:szCs w:val="28"/>
        </w:rPr>
      </w:pPr>
      <w:r w:rsidRPr="00D17334">
        <w:rPr>
          <w:szCs w:val="28"/>
        </w:rPr>
        <w:t>Галузь (сектор) «Охорона здоров’я» спрямований на розвиток медичних закладів та підвищення якості медичних послуг. Публічні інвестиції спрямовуватимуться на покращення доступу до медичних послуг та створення комфортних умов перебування у медичних закладах.</w:t>
      </w:r>
    </w:p>
    <w:p w:rsidR="00672DA8" w:rsidRPr="00D17334" w:rsidRDefault="00672DA8" w:rsidP="005E6054">
      <w:pPr>
        <w:ind w:firstLine="567"/>
        <w:rPr>
          <w:szCs w:val="28"/>
        </w:rPr>
      </w:pPr>
      <w:r w:rsidRPr="00D17334">
        <w:rPr>
          <w:szCs w:val="28"/>
        </w:rPr>
        <w:t>Сектор (галузь) «Соціальна сфера» спрямований на забезпечення покращення соціальних послуг в громаді. Публічніінвестиції спрямовуватимуться на покращення закладів соціального .</w:t>
      </w:r>
    </w:p>
    <w:p w:rsidR="00672DA8" w:rsidRPr="00D17334" w:rsidRDefault="00672DA8" w:rsidP="002712B3">
      <w:pPr>
        <w:ind w:firstLine="567"/>
        <w:rPr>
          <w:szCs w:val="28"/>
        </w:rPr>
      </w:pPr>
      <w:r w:rsidRPr="00D17334">
        <w:rPr>
          <w:szCs w:val="28"/>
        </w:rPr>
        <w:t>Сектор (галузь) «Громадська безпека» спрямований на забезпечення ефективного реагування на надзвичайні ситуації, підвищення рівня безпеки громадян, зменшення негативних наслідків стихійних лих та запобігання їх виникненню шляхом впровадження заходів та проєктів з впровадження централізованих та об’єктових систем інформування про небезпеку виникнення надзвичайних ситуацій.</w:t>
      </w:r>
    </w:p>
    <w:p w:rsidR="00672DA8" w:rsidRPr="00D17334" w:rsidRDefault="00672DA8" w:rsidP="002712B3">
      <w:pPr>
        <w:ind w:firstLine="567"/>
        <w:rPr>
          <w:szCs w:val="28"/>
        </w:rPr>
      </w:pPr>
      <w:r w:rsidRPr="00D17334">
        <w:rPr>
          <w:szCs w:val="28"/>
        </w:rPr>
        <w:t xml:space="preserve">Галузь (сектор) «Житло» спрямований на підвищення економічної стійкості громади шляхом створення фонду житла для забезпечення соціально незахищених верств населення та стимулювання залучення кваліфікованих фахівців у громаду. </w:t>
      </w:r>
    </w:p>
    <w:p w:rsidR="00672DA8" w:rsidRPr="00D17334" w:rsidRDefault="00672DA8" w:rsidP="002712B3">
      <w:pPr>
        <w:ind w:firstLine="567"/>
        <w:rPr>
          <w:szCs w:val="28"/>
        </w:rPr>
      </w:pPr>
      <w:r w:rsidRPr="00D17334">
        <w:rPr>
          <w:szCs w:val="28"/>
        </w:rPr>
        <w:t xml:space="preserve">Сектор (галузь) «Транспорт» спрямований на відновлення та розбудову мережі якісних автомобільних доріг громади та покращення транспортної доступності, покращення технічного забезпечення комунальних підприємств. </w:t>
      </w:r>
    </w:p>
    <w:p w:rsidR="00672DA8" w:rsidRPr="00D17334" w:rsidRDefault="00672DA8" w:rsidP="005E6054">
      <w:pPr>
        <w:ind w:firstLine="567"/>
        <w:rPr>
          <w:szCs w:val="28"/>
        </w:rPr>
      </w:pPr>
      <w:r w:rsidRPr="00D17334">
        <w:rPr>
          <w:szCs w:val="28"/>
        </w:rPr>
        <w:t>Сектор (галузь) «Енергетика» спрямований на розвиток та модернізацію енергетичної інфраструктури. Публічні інвестиції спрямовуватимуться на розвиток відновлювальних джерел енергії на муніципальних об’єктах.</w:t>
      </w:r>
    </w:p>
    <w:p w:rsidR="00672DA8" w:rsidRPr="00D17334" w:rsidRDefault="00672DA8" w:rsidP="000F67F9">
      <w:pPr>
        <w:ind w:firstLine="567"/>
        <w:rPr>
          <w:szCs w:val="28"/>
        </w:rPr>
      </w:pPr>
      <w:r w:rsidRPr="00D17334">
        <w:rPr>
          <w:szCs w:val="28"/>
        </w:rPr>
        <w:t>Галузь (сектор) «Культура та інформація» спрямований на відновлення доступу до культурних послуг, у тому числі через відновлення зруйнованих та пошкоджених об’єктів культури.</w:t>
      </w:r>
    </w:p>
    <w:p w:rsidR="00672DA8" w:rsidRPr="00D17334" w:rsidRDefault="00672DA8" w:rsidP="000F67F9">
      <w:pPr>
        <w:ind w:firstLine="567"/>
        <w:rPr>
          <w:szCs w:val="28"/>
        </w:rPr>
      </w:pPr>
    </w:p>
    <w:p w:rsidR="00672DA8" w:rsidRPr="00D17334" w:rsidRDefault="00672DA8" w:rsidP="000F67F9">
      <w:pPr>
        <w:spacing w:after="240"/>
        <w:jc w:val="center"/>
        <w:rPr>
          <w:b/>
          <w:szCs w:val="28"/>
        </w:rPr>
      </w:pPr>
      <w:r w:rsidRPr="00D17334">
        <w:rPr>
          <w:b/>
          <w:szCs w:val="28"/>
        </w:rPr>
        <w:t>V. ПІДСЕКТОРИ ГАЛУЗЕЙ (СЕКТОРІВ) ДЛЯ ПУБЛІЧНОГО ІНВЕСТУВАННЯ</w:t>
      </w:r>
    </w:p>
    <w:p w:rsidR="00672DA8" w:rsidRPr="00D17334" w:rsidRDefault="00672DA8" w:rsidP="000F67F9">
      <w:pPr>
        <w:ind w:firstLine="567"/>
        <w:rPr>
          <w:szCs w:val="28"/>
        </w:rPr>
      </w:pPr>
      <w:r w:rsidRPr="00D17334">
        <w:rPr>
          <w:szCs w:val="28"/>
        </w:rPr>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громади. Їх визначення дозволяє деталізувати пріоритети та оптимізувати використання бюджетних коштів.</w:t>
      </w:r>
    </w:p>
    <w:p w:rsidR="00672DA8" w:rsidRPr="00D17334" w:rsidRDefault="00672DA8" w:rsidP="000F67F9">
      <w:pPr>
        <w:ind w:firstLine="567"/>
        <w:rPr>
          <w:szCs w:val="28"/>
        </w:rPr>
      </w:pPr>
      <w:r w:rsidRPr="00D17334">
        <w:rPr>
          <w:szCs w:val="28"/>
        </w:rPr>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672DA8" w:rsidRPr="00D17334" w:rsidRDefault="00672DA8" w:rsidP="000F67F9">
      <w:pPr>
        <w:ind w:firstLine="567"/>
        <w:rPr>
          <w:szCs w:val="28"/>
        </w:rPr>
      </w:pPr>
      <w:r w:rsidRPr="00D17334">
        <w:rPr>
          <w:szCs w:val="28"/>
        </w:rPr>
        <w:t>Підсектори є важливими аналітичними одиницями, які сприяють реалізації державних стратегій розвитку та забезпечують впровадження інтегрованого підходу до управління публічними інвестиціями.</w:t>
      </w:r>
    </w:p>
    <w:p w:rsidR="00672DA8" w:rsidRDefault="00672DA8" w:rsidP="000F67F9">
      <w:pPr>
        <w:ind w:firstLine="567"/>
        <w:rPr>
          <w:szCs w:val="28"/>
        </w:rPr>
      </w:pPr>
      <w:r w:rsidRPr="00D17334">
        <w:rPr>
          <w:szCs w:val="28"/>
        </w:rPr>
        <w:t>Перелік підсекторів галузей (секторів) для публічного інвестування:</w:t>
      </w:r>
    </w:p>
    <w:p w:rsidR="00672DA8" w:rsidRPr="00D17334" w:rsidRDefault="00672DA8" w:rsidP="000F67F9">
      <w:pPr>
        <w:ind w:firstLine="56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2173"/>
        <w:gridCol w:w="4247"/>
      </w:tblGrid>
      <w:tr w:rsidR="00672DA8" w:rsidRPr="00FC5BB6" w:rsidTr="00FC5BB6">
        <w:trPr>
          <w:tblHeader/>
        </w:trPr>
        <w:tc>
          <w:tcPr>
            <w:tcW w:w="3209" w:type="dxa"/>
            <w:vAlign w:val="center"/>
          </w:tcPr>
          <w:p w:rsidR="00672DA8" w:rsidRPr="00FC5BB6" w:rsidRDefault="00672DA8" w:rsidP="00FC5BB6">
            <w:pPr>
              <w:jc w:val="center"/>
              <w:rPr>
                <w:sz w:val="24"/>
                <w:szCs w:val="24"/>
              </w:rPr>
            </w:pPr>
            <w:r w:rsidRPr="00FC5BB6">
              <w:rPr>
                <w:sz w:val="24"/>
                <w:szCs w:val="24"/>
              </w:rPr>
              <w:t>Галузь (сектор)</w:t>
            </w:r>
          </w:p>
        </w:tc>
        <w:tc>
          <w:tcPr>
            <w:tcW w:w="2173" w:type="dxa"/>
            <w:vAlign w:val="center"/>
          </w:tcPr>
          <w:p w:rsidR="00672DA8" w:rsidRPr="00FC5BB6" w:rsidRDefault="00672DA8" w:rsidP="00FC5BB6">
            <w:pPr>
              <w:jc w:val="center"/>
              <w:rPr>
                <w:sz w:val="24"/>
                <w:szCs w:val="24"/>
              </w:rPr>
            </w:pPr>
            <w:r w:rsidRPr="00FC5BB6">
              <w:rPr>
                <w:sz w:val="24"/>
                <w:szCs w:val="24"/>
              </w:rPr>
              <w:t>підсектори галузей (секторів)</w:t>
            </w:r>
          </w:p>
        </w:tc>
        <w:tc>
          <w:tcPr>
            <w:tcW w:w="4247" w:type="dxa"/>
            <w:vAlign w:val="center"/>
          </w:tcPr>
          <w:p w:rsidR="00672DA8" w:rsidRPr="00FC5BB6" w:rsidRDefault="00672DA8" w:rsidP="00FC5BB6">
            <w:pPr>
              <w:jc w:val="center"/>
              <w:rPr>
                <w:sz w:val="24"/>
                <w:szCs w:val="24"/>
              </w:rPr>
            </w:pPr>
            <w:r w:rsidRPr="00FC5BB6">
              <w:rPr>
                <w:sz w:val="24"/>
                <w:szCs w:val="24"/>
              </w:rPr>
              <w:t>Відповідальні структурні підрозділи / головні розпорядники коштів</w:t>
            </w:r>
          </w:p>
        </w:tc>
      </w:tr>
      <w:tr w:rsidR="00672DA8" w:rsidRPr="00FC5BB6" w:rsidTr="00FC5BB6">
        <w:tc>
          <w:tcPr>
            <w:tcW w:w="3209" w:type="dxa"/>
          </w:tcPr>
          <w:p w:rsidR="00672DA8" w:rsidRPr="00FC5BB6" w:rsidRDefault="00672DA8" w:rsidP="00DE469C">
            <w:pPr>
              <w:rPr>
                <w:szCs w:val="28"/>
              </w:rPr>
            </w:pPr>
            <w:r w:rsidRPr="00FC5BB6">
              <w:rPr>
                <w:szCs w:val="28"/>
              </w:rPr>
              <w:t>освіта і наука</w:t>
            </w:r>
          </w:p>
        </w:tc>
        <w:tc>
          <w:tcPr>
            <w:tcW w:w="2173" w:type="dxa"/>
          </w:tcPr>
          <w:p w:rsidR="00672DA8" w:rsidRPr="00FC5BB6" w:rsidRDefault="00672DA8" w:rsidP="00DE469C">
            <w:pPr>
              <w:rPr>
                <w:sz w:val="24"/>
                <w:szCs w:val="24"/>
              </w:rPr>
            </w:pPr>
            <w:r w:rsidRPr="00FC5BB6">
              <w:rPr>
                <w:sz w:val="24"/>
                <w:szCs w:val="24"/>
              </w:rPr>
              <w:t>Шкільна освіта,</w:t>
            </w:r>
          </w:p>
          <w:p w:rsidR="00672DA8" w:rsidRPr="00FC5BB6" w:rsidRDefault="00672DA8" w:rsidP="00DE469C">
            <w:pPr>
              <w:rPr>
                <w:sz w:val="24"/>
                <w:szCs w:val="24"/>
              </w:rPr>
            </w:pPr>
            <w:r w:rsidRPr="00FC5BB6">
              <w:rPr>
                <w:sz w:val="24"/>
                <w:szCs w:val="24"/>
              </w:rPr>
              <w:t>Дошкільна освіта,</w:t>
            </w:r>
          </w:p>
          <w:p w:rsidR="00672DA8" w:rsidRPr="00FC5BB6" w:rsidRDefault="00672DA8" w:rsidP="00DE469C">
            <w:pPr>
              <w:rPr>
                <w:sz w:val="24"/>
                <w:szCs w:val="24"/>
              </w:rPr>
            </w:pPr>
            <w:r w:rsidRPr="00FC5BB6">
              <w:rPr>
                <w:sz w:val="24"/>
                <w:szCs w:val="24"/>
              </w:rPr>
              <w:t>Спеціалізована освіта</w:t>
            </w:r>
          </w:p>
        </w:tc>
        <w:tc>
          <w:tcPr>
            <w:tcW w:w="4247" w:type="dxa"/>
          </w:tcPr>
          <w:p w:rsidR="00672DA8" w:rsidRPr="00FC5BB6" w:rsidRDefault="00672DA8" w:rsidP="00DE469C">
            <w:pPr>
              <w:rPr>
                <w:sz w:val="24"/>
                <w:szCs w:val="24"/>
              </w:rPr>
            </w:pPr>
            <w:r w:rsidRPr="00FC5BB6">
              <w:rPr>
                <w:sz w:val="24"/>
                <w:szCs w:val="24"/>
              </w:rPr>
              <w:t>Управління освіти, молоді та спорту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муніципальна інфраструктура та послуги</w:t>
            </w:r>
          </w:p>
        </w:tc>
        <w:tc>
          <w:tcPr>
            <w:tcW w:w="2173" w:type="dxa"/>
          </w:tcPr>
          <w:p w:rsidR="00672DA8" w:rsidRPr="00FC5BB6" w:rsidRDefault="00672DA8" w:rsidP="00DE469C">
            <w:pPr>
              <w:rPr>
                <w:sz w:val="24"/>
                <w:szCs w:val="24"/>
              </w:rPr>
            </w:pPr>
            <w:r w:rsidRPr="00FC5BB6">
              <w:rPr>
                <w:sz w:val="24"/>
                <w:szCs w:val="24"/>
              </w:rPr>
              <w:t>Містобудування та благоустрій,</w:t>
            </w:r>
          </w:p>
          <w:p w:rsidR="00672DA8" w:rsidRPr="00FC5BB6" w:rsidRDefault="00672DA8" w:rsidP="00DE469C">
            <w:pPr>
              <w:rPr>
                <w:sz w:val="24"/>
                <w:szCs w:val="24"/>
              </w:rPr>
            </w:pPr>
            <w:r w:rsidRPr="00FC5BB6">
              <w:rPr>
                <w:sz w:val="24"/>
                <w:szCs w:val="24"/>
              </w:rPr>
              <w:t>Захисні споруди об'єктів інфраструктури,</w:t>
            </w:r>
          </w:p>
          <w:p w:rsidR="00672DA8" w:rsidRPr="00FC5BB6" w:rsidRDefault="00672DA8" w:rsidP="00DE469C">
            <w:pPr>
              <w:rPr>
                <w:sz w:val="24"/>
                <w:szCs w:val="24"/>
              </w:rPr>
            </w:pPr>
            <w:r w:rsidRPr="00FC5BB6">
              <w:rPr>
                <w:sz w:val="24"/>
                <w:szCs w:val="24"/>
              </w:rPr>
              <w:t>Водопостачання та водовідведення,</w:t>
            </w:r>
          </w:p>
          <w:p w:rsidR="00672DA8" w:rsidRPr="00FC5BB6" w:rsidRDefault="00672DA8" w:rsidP="00DE469C">
            <w:pPr>
              <w:rPr>
                <w:sz w:val="24"/>
                <w:szCs w:val="24"/>
              </w:rPr>
            </w:pPr>
            <w:r w:rsidRPr="00FC5BB6">
              <w:rPr>
                <w:sz w:val="24"/>
                <w:szCs w:val="24"/>
              </w:rPr>
              <w:t>Теплопостачання,</w:t>
            </w:r>
          </w:p>
          <w:p w:rsidR="00672DA8" w:rsidRPr="00FC5BB6" w:rsidRDefault="00672DA8" w:rsidP="00DE469C">
            <w:pPr>
              <w:rPr>
                <w:sz w:val="24"/>
                <w:szCs w:val="24"/>
              </w:rPr>
            </w:pPr>
            <w:r w:rsidRPr="00FC5BB6">
              <w:rPr>
                <w:sz w:val="24"/>
                <w:szCs w:val="24"/>
              </w:rPr>
              <w:t>Розбудова та відновлення інфраструктури субнаціональних органів, Управління побутовими відходами</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p w:rsidR="00672DA8" w:rsidRPr="00FC5BB6" w:rsidRDefault="00672DA8" w:rsidP="00DE469C">
            <w:pPr>
              <w:rPr>
                <w:sz w:val="24"/>
                <w:szCs w:val="24"/>
              </w:rPr>
            </w:pPr>
            <w:r w:rsidRPr="00FC5BB6">
              <w:rPr>
                <w:sz w:val="24"/>
                <w:szCs w:val="24"/>
              </w:rPr>
              <w:t>Управління культури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охорона здоров’я</w:t>
            </w:r>
          </w:p>
        </w:tc>
        <w:tc>
          <w:tcPr>
            <w:tcW w:w="2173" w:type="dxa"/>
          </w:tcPr>
          <w:p w:rsidR="00672DA8" w:rsidRPr="00FC5BB6" w:rsidRDefault="00672DA8" w:rsidP="00DE469C">
            <w:pPr>
              <w:rPr>
                <w:sz w:val="24"/>
                <w:szCs w:val="24"/>
              </w:rPr>
            </w:pPr>
            <w:r w:rsidRPr="00FC5BB6">
              <w:rPr>
                <w:sz w:val="24"/>
                <w:szCs w:val="24"/>
              </w:rPr>
              <w:t>Спеціалізована медична допомога,</w:t>
            </w:r>
          </w:p>
          <w:p w:rsidR="00672DA8" w:rsidRPr="00FC5BB6" w:rsidRDefault="00672DA8" w:rsidP="00DE469C">
            <w:pPr>
              <w:rPr>
                <w:sz w:val="24"/>
                <w:szCs w:val="24"/>
              </w:rPr>
            </w:pPr>
            <w:r w:rsidRPr="00FC5BB6">
              <w:rPr>
                <w:sz w:val="24"/>
                <w:szCs w:val="24"/>
              </w:rPr>
              <w:t>Первинна медицина</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p w:rsidR="00672DA8" w:rsidRPr="00FC5BB6" w:rsidRDefault="00672DA8" w:rsidP="00DE469C">
            <w:pPr>
              <w:rPr>
                <w:sz w:val="24"/>
                <w:szCs w:val="24"/>
              </w:rPr>
            </w:pPr>
            <w:r w:rsidRPr="00FC5BB6">
              <w:rPr>
                <w:sz w:val="24"/>
                <w:szCs w:val="24"/>
              </w:rPr>
              <w:t>Виконавчий комітет Лозівської міської ради Харківської області / КНП «Лозівський ЦПМСД» / КНП «Лозівське ТМО»</w:t>
            </w:r>
          </w:p>
        </w:tc>
      </w:tr>
      <w:tr w:rsidR="00672DA8" w:rsidRPr="00FC5BB6" w:rsidTr="00FC5BB6">
        <w:tc>
          <w:tcPr>
            <w:tcW w:w="3209" w:type="dxa"/>
          </w:tcPr>
          <w:p w:rsidR="00672DA8" w:rsidRPr="00FC5BB6" w:rsidRDefault="00672DA8" w:rsidP="00DE469C">
            <w:pPr>
              <w:rPr>
                <w:szCs w:val="28"/>
              </w:rPr>
            </w:pPr>
            <w:r w:rsidRPr="00FC5BB6">
              <w:rPr>
                <w:szCs w:val="28"/>
              </w:rPr>
              <w:t>соціальна сфера</w:t>
            </w:r>
          </w:p>
        </w:tc>
        <w:tc>
          <w:tcPr>
            <w:tcW w:w="2173" w:type="dxa"/>
          </w:tcPr>
          <w:p w:rsidR="00672DA8" w:rsidRPr="00FC5BB6" w:rsidRDefault="00672DA8" w:rsidP="00DE469C">
            <w:pPr>
              <w:rPr>
                <w:sz w:val="24"/>
                <w:szCs w:val="24"/>
              </w:rPr>
            </w:pPr>
            <w:r w:rsidRPr="00FC5BB6">
              <w:rPr>
                <w:sz w:val="24"/>
                <w:szCs w:val="24"/>
              </w:rPr>
              <w:t>Соціальні послуги, Реабілітаційні послуги,</w:t>
            </w:r>
          </w:p>
          <w:p w:rsidR="00672DA8" w:rsidRPr="00FC5BB6" w:rsidRDefault="00672DA8" w:rsidP="00DE469C">
            <w:pPr>
              <w:rPr>
                <w:sz w:val="24"/>
                <w:szCs w:val="24"/>
              </w:rPr>
            </w:pPr>
            <w:r w:rsidRPr="00FC5BB6">
              <w:rPr>
                <w:sz w:val="24"/>
                <w:szCs w:val="24"/>
              </w:rPr>
              <w:t>Ветерани</w:t>
            </w:r>
          </w:p>
        </w:tc>
        <w:tc>
          <w:tcPr>
            <w:tcW w:w="4247" w:type="dxa"/>
          </w:tcPr>
          <w:p w:rsidR="00672DA8" w:rsidRPr="00FC5BB6" w:rsidRDefault="00672DA8" w:rsidP="00DE469C">
            <w:pPr>
              <w:rPr>
                <w:sz w:val="24"/>
                <w:szCs w:val="24"/>
              </w:rPr>
            </w:pPr>
            <w:r w:rsidRPr="00FC5BB6">
              <w:rPr>
                <w:sz w:val="24"/>
                <w:szCs w:val="24"/>
              </w:rPr>
              <w:t>Управління праці та соціального захисту населення Лозівської міської ради Харківської області (Комунальна установа «Центр комплексної реабілітації для осіб з інвалідністю «Сяйво життя» Лозівської міської ради Харківської області, Територіальний центр соціального обслуговування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громадська безпека</w:t>
            </w:r>
          </w:p>
        </w:tc>
        <w:tc>
          <w:tcPr>
            <w:tcW w:w="2173" w:type="dxa"/>
          </w:tcPr>
          <w:p w:rsidR="00672DA8" w:rsidRPr="00FC5BB6" w:rsidRDefault="00672DA8" w:rsidP="00DE469C">
            <w:pPr>
              <w:rPr>
                <w:sz w:val="24"/>
                <w:szCs w:val="24"/>
              </w:rPr>
            </w:pPr>
            <w:r w:rsidRPr="00FC5BB6">
              <w:rPr>
                <w:sz w:val="24"/>
                <w:szCs w:val="24"/>
              </w:rPr>
              <w:t>Цивільний захист</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житло</w:t>
            </w:r>
          </w:p>
        </w:tc>
        <w:tc>
          <w:tcPr>
            <w:tcW w:w="2173" w:type="dxa"/>
          </w:tcPr>
          <w:p w:rsidR="00672DA8" w:rsidRPr="00FC5BB6" w:rsidRDefault="00672DA8" w:rsidP="00DE469C">
            <w:pPr>
              <w:rPr>
                <w:sz w:val="24"/>
                <w:szCs w:val="24"/>
              </w:rPr>
            </w:pPr>
            <w:r w:rsidRPr="00FC5BB6">
              <w:rPr>
                <w:sz w:val="24"/>
                <w:szCs w:val="24"/>
              </w:rPr>
              <w:t>Відновлення житла,</w:t>
            </w:r>
          </w:p>
          <w:p w:rsidR="00672DA8" w:rsidRPr="00FC5BB6" w:rsidRDefault="00672DA8" w:rsidP="00DE469C">
            <w:pPr>
              <w:rPr>
                <w:sz w:val="24"/>
                <w:szCs w:val="24"/>
              </w:rPr>
            </w:pPr>
            <w:r w:rsidRPr="00FC5BB6">
              <w:rPr>
                <w:sz w:val="24"/>
                <w:szCs w:val="24"/>
              </w:rPr>
              <w:t>Житлові рішення</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транспорт</w:t>
            </w:r>
          </w:p>
        </w:tc>
        <w:tc>
          <w:tcPr>
            <w:tcW w:w="2173" w:type="dxa"/>
          </w:tcPr>
          <w:p w:rsidR="00672DA8" w:rsidRPr="00FC5BB6" w:rsidRDefault="00672DA8" w:rsidP="00DE469C">
            <w:pPr>
              <w:rPr>
                <w:sz w:val="24"/>
                <w:szCs w:val="24"/>
              </w:rPr>
            </w:pPr>
            <w:r w:rsidRPr="00FC5BB6">
              <w:rPr>
                <w:sz w:val="24"/>
                <w:szCs w:val="24"/>
              </w:rPr>
              <w:t>Автомобільний транспорт та дорожнє господарство</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енергетика</w:t>
            </w:r>
          </w:p>
        </w:tc>
        <w:tc>
          <w:tcPr>
            <w:tcW w:w="2173" w:type="dxa"/>
          </w:tcPr>
          <w:p w:rsidR="00672DA8" w:rsidRPr="00FC5BB6" w:rsidRDefault="00672DA8" w:rsidP="00DE469C">
            <w:pPr>
              <w:rPr>
                <w:sz w:val="24"/>
                <w:szCs w:val="24"/>
              </w:rPr>
            </w:pPr>
            <w:r w:rsidRPr="00FC5BB6">
              <w:rPr>
                <w:sz w:val="24"/>
                <w:szCs w:val="24"/>
              </w:rPr>
              <w:t>Відновлювальні джерела енергії та альтернативні види палива</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культура та інформація</w:t>
            </w:r>
          </w:p>
        </w:tc>
        <w:tc>
          <w:tcPr>
            <w:tcW w:w="2173" w:type="dxa"/>
          </w:tcPr>
          <w:p w:rsidR="00672DA8" w:rsidRPr="00FC5BB6" w:rsidRDefault="00672DA8" w:rsidP="00DE469C">
            <w:pPr>
              <w:rPr>
                <w:sz w:val="24"/>
                <w:szCs w:val="24"/>
              </w:rPr>
            </w:pPr>
            <w:r w:rsidRPr="00FC5BB6">
              <w:rPr>
                <w:sz w:val="24"/>
                <w:szCs w:val="24"/>
              </w:rPr>
              <w:t>Культурні послуги</w:t>
            </w:r>
          </w:p>
        </w:tc>
        <w:tc>
          <w:tcPr>
            <w:tcW w:w="4247" w:type="dxa"/>
          </w:tcPr>
          <w:p w:rsidR="00672DA8" w:rsidRPr="00FC5BB6" w:rsidRDefault="00672DA8" w:rsidP="00DE469C">
            <w:pPr>
              <w:rPr>
                <w:sz w:val="24"/>
                <w:szCs w:val="24"/>
              </w:rPr>
            </w:pPr>
            <w:r w:rsidRPr="00FC5BB6">
              <w:rPr>
                <w:sz w:val="24"/>
                <w:szCs w:val="24"/>
              </w:rPr>
              <w:t>Управління культури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довкілля</w:t>
            </w:r>
          </w:p>
        </w:tc>
        <w:tc>
          <w:tcPr>
            <w:tcW w:w="2173" w:type="dxa"/>
          </w:tcPr>
          <w:p w:rsidR="00672DA8" w:rsidRPr="00FC5BB6" w:rsidRDefault="00672DA8" w:rsidP="00DE469C">
            <w:pPr>
              <w:rPr>
                <w:sz w:val="24"/>
                <w:szCs w:val="24"/>
              </w:rPr>
            </w:pPr>
            <w:r w:rsidRPr="00FC5BB6">
              <w:rPr>
                <w:sz w:val="24"/>
                <w:szCs w:val="24"/>
              </w:rPr>
              <w:t>Клімат</w:t>
            </w:r>
          </w:p>
        </w:tc>
        <w:tc>
          <w:tcPr>
            <w:tcW w:w="4247" w:type="dxa"/>
          </w:tcPr>
          <w:p w:rsidR="00672DA8" w:rsidRPr="00FC5BB6" w:rsidRDefault="00672DA8" w:rsidP="00DE469C">
            <w:pPr>
              <w:rPr>
                <w:sz w:val="24"/>
                <w:szCs w:val="24"/>
              </w:rPr>
            </w:pPr>
            <w:r w:rsidRPr="00FC5BB6">
              <w:rPr>
                <w:sz w:val="24"/>
                <w:szCs w:val="24"/>
              </w:rPr>
              <w:t>Управління житлово-комунального господарства та будівництва Лозівської міської ради Харківської області,</w:t>
            </w:r>
          </w:p>
          <w:p w:rsidR="00672DA8" w:rsidRPr="00FC5BB6" w:rsidRDefault="00672DA8" w:rsidP="00DE469C">
            <w:pPr>
              <w:rPr>
                <w:sz w:val="24"/>
                <w:szCs w:val="24"/>
              </w:rPr>
            </w:pPr>
            <w:r w:rsidRPr="00FC5BB6">
              <w:rPr>
                <w:sz w:val="24"/>
                <w:szCs w:val="24"/>
              </w:rPr>
              <w:t>Управління праці та соціального захисту населення Лозівської міської ради Харківської області</w:t>
            </w:r>
          </w:p>
        </w:tc>
      </w:tr>
      <w:tr w:rsidR="00672DA8" w:rsidRPr="00FC5BB6" w:rsidTr="00FC5BB6">
        <w:tc>
          <w:tcPr>
            <w:tcW w:w="3209" w:type="dxa"/>
          </w:tcPr>
          <w:p w:rsidR="00672DA8" w:rsidRPr="00FC5BB6" w:rsidRDefault="00672DA8" w:rsidP="00DE469C">
            <w:pPr>
              <w:rPr>
                <w:szCs w:val="28"/>
              </w:rPr>
            </w:pPr>
            <w:r w:rsidRPr="00FC5BB6">
              <w:rPr>
                <w:szCs w:val="28"/>
              </w:rPr>
              <w:t>публічні послуги і пов’язана з ними цифровізація</w:t>
            </w:r>
          </w:p>
        </w:tc>
        <w:tc>
          <w:tcPr>
            <w:tcW w:w="2173" w:type="dxa"/>
          </w:tcPr>
          <w:p w:rsidR="00672DA8" w:rsidRPr="00FC5BB6" w:rsidRDefault="00672DA8" w:rsidP="00FC5BB6">
            <w:pPr>
              <w:pStyle w:val="Default"/>
              <w:jc w:val="both"/>
              <w:rPr>
                <w:szCs w:val="28"/>
              </w:rPr>
            </w:pPr>
            <w:r w:rsidRPr="00FC5BB6">
              <w:t>Електронні комунікації</w:t>
            </w:r>
          </w:p>
        </w:tc>
        <w:tc>
          <w:tcPr>
            <w:tcW w:w="4247" w:type="dxa"/>
          </w:tcPr>
          <w:p w:rsidR="00672DA8" w:rsidRPr="00FC5BB6" w:rsidRDefault="00672DA8" w:rsidP="00DE469C">
            <w:pPr>
              <w:rPr>
                <w:sz w:val="24"/>
                <w:szCs w:val="24"/>
              </w:rPr>
            </w:pPr>
            <w:r w:rsidRPr="00FC5BB6">
              <w:rPr>
                <w:sz w:val="24"/>
                <w:szCs w:val="24"/>
              </w:rPr>
              <w:t>Виконавчий комітет Лозівської міської ради Харківської області</w:t>
            </w:r>
          </w:p>
        </w:tc>
      </w:tr>
    </w:tbl>
    <w:p w:rsidR="00672DA8" w:rsidRPr="00D17334" w:rsidRDefault="00672DA8" w:rsidP="00DE469C">
      <w:pPr>
        <w:rPr>
          <w:szCs w:val="28"/>
        </w:rPr>
      </w:pPr>
    </w:p>
    <w:p w:rsidR="00672DA8" w:rsidRDefault="00672DA8" w:rsidP="000F67F9">
      <w:pPr>
        <w:pStyle w:val="ListParagraph"/>
        <w:spacing w:before="240" w:after="240"/>
        <w:ind w:left="0"/>
        <w:jc w:val="center"/>
        <w:rPr>
          <w:b/>
          <w:szCs w:val="28"/>
        </w:rPr>
      </w:pPr>
    </w:p>
    <w:p w:rsidR="00672DA8" w:rsidRDefault="00672DA8" w:rsidP="000F67F9">
      <w:pPr>
        <w:pStyle w:val="ListParagraph"/>
        <w:spacing w:before="240" w:after="240"/>
        <w:ind w:left="0"/>
        <w:jc w:val="center"/>
        <w:rPr>
          <w:b/>
          <w:szCs w:val="28"/>
        </w:rPr>
      </w:pPr>
      <w:r w:rsidRPr="00D17334">
        <w:rPr>
          <w:b/>
          <w:szCs w:val="28"/>
        </w:rPr>
        <w:t>VІ. ОСНОВНІ НАПРЯМИ ПУБЛІЧНОГО ІНВЕСТУВАННЯ</w:t>
      </w:r>
    </w:p>
    <w:p w:rsidR="00672DA8" w:rsidRPr="00D17334" w:rsidRDefault="00672DA8" w:rsidP="000F67F9">
      <w:pPr>
        <w:pStyle w:val="ListParagraph"/>
        <w:spacing w:before="240" w:after="240"/>
        <w:ind w:left="0"/>
        <w:jc w:val="center"/>
        <w:rPr>
          <w:b/>
          <w:szCs w:val="28"/>
        </w:rPr>
      </w:pPr>
    </w:p>
    <w:p w:rsidR="00672DA8" w:rsidRPr="00D17334" w:rsidRDefault="00672DA8" w:rsidP="001F4C7C">
      <w:pPr>
        <w:pStyle w:val="ListParagraph"/>
        <w:ind w:left="0" w:firstLine="567"/>
        <w:rPr>
          <w:szCs w:val="28"/>
        </w:rPr>
      </w:pPr>
      <w:r w:rsidRPr="00D17334">
        <w:rPr>
          <w:szCs w:val="28"/>
        </w:rPr>
        <w:t>Основні напрями публічного інвестування узгоджуються із завданнями Державної стратегії регіонального розвитку на 2021-2027 роки, Стратегії розвитку Харківської області на 2021-2027 роки, галузевих стратегій у розрізі сфер державної політики, регіонів і територій та мають найвищий рівень пріоритетності серед інших напрямів відповідної галузі (сектора) для отримання фінансування.</w:t>
      </w:r>
    </w:p>
    <w:p w:rsidR="00672DA8" w:rsidRPr="00D17334" w:rsidRDefault="00672DA8" w:rsidP="00234AF9">
      <w:pPr>
        <w:pStyle w:val="ListParagraph"/>
        <w:ind w:left="0" w:firstLine="567"/>
        <w:rPr>
          <w:szCs w:val="28"/>
        </w:rPr>
      </w:pPr>
      <w:r w:rsidRPr="00D17334">
        <w:rPr>
          <w:szCs w:val="28"/>
        </w:rPr>
        <w:t>Формування основних напрямів публічного інвестування здійснювалось управлінням економікиЛозівської міської ради на основі пропозицій структурних підрозділів Лозівської міської ради, з урахуванням завдань, визначених відповідними стратегіями, а також з урахуванням наявності діючих проектів за відповідними напрямами.</w:t>
      </w:r>
    </w:p>
    <w:p w:rsidR="00672DA8" w:rsidRPr="00D17334" w:rsidRDefault="00672DA8" w:rsidP="000F67F9">
      <w:pPr>
        <w:pStyle w:val="ListParagraph"/>
        <w:ind w:left="0" w:firstLine="567"/>
        <w:rPr>
          <w:szCs w:val="28"/>
        </w:rPr>
      </w:pPr>
      <w:r w:rsidRPr="00D17334">
        <w:rPr>
          <w:szCs w:val="28"/>
        </w:rPr>
        <w:t>Структурними підрозділами Лозівської міської ради, було подано до управління економіки для формування матеріалів на розгляд місцевої інвестиційної ради</w:t>
      </w:r>
      <w:r w:rsidRPr="00D17334">
        <w:rPr>
          <w:bCs/>
          <w:szCs w:val="28"/>
        </w:rPr>
        <w:t>Лозівської міської територіальної громади</w:t>
      </w:r>
      <w:r w:rsidRPr="00D17334">
        <w:rPr>
          <w:szCs w:val="28"/>
        </w:rPr>
        <w:t>, утвореної рішенням</w:t>
      </w:r>
      <w:r w:rsidRPr="00D17334">
        <w:rPr>
          <w:bCs/>
          <w:szCs w:val="28"/>
        </w:rPr>
        <w:t xml:space="preserve"> виконавчого комітету міської радивід 12.08.2025 №1081 «Про створення місцевої інвестиційної ради Лозівської міської територіальної громади»,</w:t>
      </w:r>
      <w:r w:rsidRPr="00D17334">
        <w:rPr>
          <w:szCs w:val="28"/>
        </w:rPr>
        <w:t xml:space="preserve"> 10 пропозицій до середньострокового плану, що містять 45 напрямів для публічного інвестування, з них 37 визначено основними та включено до Додатку 1 до цього середньострокового плану, 8 напрямів для публічного інвестування відображені у Додатку 2.</w:t>
      </w:r>
    </w:p>
    <w:p w:rsidR="00672DA8" w:rsidRDefault="00672DA8" w:rsidP="000F67F9">
      <w:pPr>
        <w:pStyle w:val="ListParagraph"/>
        <w:ind w:left="0"/>
        <w:jc w:val="center"/>
        <w:rPr>
          <w:i/>
          <w:szCs w:val="28"/>
        </w:rPr>
      </w:pPr>
    </w:p>
    <w:p w:rsidR="00672DA8" w:rsidRPr="00D17334" w:rsidRDefault="00672DA8" w:rsidP="000F67F9">
      <w:pPr>
        <w:pStyle w:val="ListParagraph"/>
        <w:ind w:left="0"/>
        <w:jc w:val="center"/>
        <w:rPr>
          <w:i/>
          <w:szCs w:val="28"/>
        </w:rPr>
      </w:pPr>
    </w:p>
    <w:p w:rsidR="00672DA8" w:rsidRPr="00D17334" w:rsidRDefault="00672DA8" w:rsidP="000F67F9">
      <w:pPr>
        <w:pStyle w:val="ListParagraph"/>
        <w:ind w:left="0"/>
        <w:jc w:val="center"/>
        <w:rPr>
          <w:b/>
          <w:szCs w:val="28"/>
        </w:rPr>
      </w:pPr>
      <w:r w:rsidRPr="00D17334">
        <w:rPr>
          <w:b/>
          <w:szCs w:val="28"/>
        </w:rPr>
        <w:t>VІI. ФІНАНСОВА СТРУКТУРА ПУБЛІЧНИХ ІНВЕСТИЦІЙ</w:t>
      </w:r>
    </w:p>
    <w:p w:rsidR="00672DA8" w:rsidRPr="00D17334" w:rsidRDefault="00672DA8" w:rsidP="000F67F9">
      <w:pPr>
        <w:pStyle w:val="ListParagraph"/>
        <w:ind w:left="0"/>
        <w:jc w:val="center"/>
        <w:rPr>
          <w:i/>
          <w:szCs w:val="28"/>
        </w:rPr>
      </w:pPr>
    </w:p>
    <w:p w:rsidR="00672DA8" w:rsidRPr="00D17334" w:rsidRDefault="00672DA8" w:rsidP="000F67F9">
      <w:pPr>
        <w:pStyle w:val="ListParagraph"/>
        <w:spacing w:after="240"/>
        <w:ind w:left="0" w:firstLine="567"/>
        <w:rPr>
          <w:szCs w:val="28"/>
        </w:rPr>
      </w:pPr>
      <w:r w:rsidRPr="00D17334">
        <w:rPr>
          <w:szCs w:val="28"/>
        </w:rPr>
        <w:t>Орієнтовний граничний сукупний обсяг публічних інвестицій на 2026-2028 роки в розрізі джерел фінансового забезпечення та за роками становить:</w:t>
      </w:r>
    </w:p>
    <w:p w:rsidR="00672DA8" w:rsidRPr="00D17334" w:rsidRDefault="00672DA8" w:rsidP="000F67F9">
      <w:pPr>
        <w:pStyle w:val="ListParagraph"/>
        <w:ind w:left="0" w:firstLine="567"/>
        <w:jc w:val="right"/>
        <w:rPr>
          <w:b/>
          <w:szCs w:val="28"/>
        </w:rPr>
      </w:pPr>
      <w:r w:rsidRPr="00D17334">
        <w:rPr>
          <w:b/>
          <w:szCs w:val="28"/>
        </w:rPr>
        <w:t>грн</w:t>
      </w:r>
    </w:p>
    <w:tbl>
      <w:tblPr>
        <w:tblW w:w="9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43"/>
        <w:gridCol w:w="1701"/>
        <w:gridCol w:w="1701"/>
        <w:gridCol w:w="1701"/>
        <w:gridCol w:w="1991"/>
      </w:tblGrid>
      <w:tr w:rsidR="00672DA8" w:rsidRPr="00FC5BB6" w:rsidTr="00EA1971">
        <w:trPr>
          <w:trHeight w:val="1038"/>
          <w:tblHeader/>
          <w:jc w:val="center"/>
        </w:trPr>
        <w:tc>
          <w:tcPr>
            <w:tcW w:w="2743" w:type="dxa"/>
            <w:vAlign w:val="center"/>
          </w:tcPr>
          <w:p w:rsidR="00672DA8" w:rsidRPr="00FC5BB6" w:rsidRDefault="00672DA8" w:rsidP="00EA1971">
            <w:pPr>
              <w:jc w:val="center"/>
              <w:rPr>
                <w:b/>
                <w:sz w:val="24"/>
                <w:szCs w:val="24"/>
              </w:rPr>
            </w:pPr>
            <w:r w:rsidRPr="00FC5BB6">
              <w:rPr>
                <w:b/>
                <w:sz w:val="24"/>
                <w:szCs w:val="24"/>
              </w:rPr>
              <w:t>Показник</w:t>
            </w:r>
          </w:p>
        </w:tc>
        <w:tc>
          <w:tcPr>
            <w:tcW w:w="1701" w:type="dxa"/>
            <w:vAlign w:val="center"/>
          </w:tcPr>
          <w:p w:rsidR="00672DA8" w:rsidRPr="00FC5BB6" w:rsidRDefault="00672DA8" w:rsidP="00EA1971">
            <w:pPr>
              <w:jc w:val="center"/>
              <w:rPr>
                <w:b/>
                <w:sz w:val="24"/>
                <w:szCs w:val="24"/>
              </w:rPr>
            </w:pPr>
            <w:r w:rsidRPr="00FC5BB6">
              <w:rPr>
                <w:b/>
                <w:sz w:val="24"/>
                <w:szCs w:val="24"/>
              </w:rPr>
              <w:t xml:space="preserve">2026 рік (прогноз) </w:t>
            </w:r>
          </w:p>
        </w:tc>
        <w:tc>
          <w:tcPr>
            <w:tcW w:w="1701" w:type="dxa"/>
            <w:vAlign w:val="center"/>
          </w:tcPr>
          <w:p w:rsidR="00672DA8" w:rsidRPr="00FC5BB6" w:rsidRDefault="00672DA8" w:rsidP="00EA1971">
            <w:pPr>
              <w:jc w:val="center"/>
              <w:rPr>
                <w:b/>
                <w:sz w:val="24"/>
                <w:szCs w:val="24"/>
              </w:rPr>
            </w:pPr>
            <w:r w:rsidRPr="00FC5BB6">
              <w:rPr>
                <w:b/>
                <w:sz w:val="24"/>
                <w:szCs w:val="24"/>
              </w:rPr>
              <w:t xml:space="preserve">2027 рік (прогноз) </w:t>
            </w:r>
          </w:p>
        </w:tc>
        <w:tc>
          <w:tcPr>
            <w:tcW w:w="1701" w:type="dxa"/>
            <w:vAlign w:val="center"/>
          </w:tcPr>
          <w:p w:rsidR="00672DA8" w:rsidRPr="00FC5BB6" w:rsidRDefault="00672DA8" w:rsidP="00EA1971">
            <w:pPr>
              <w:jc w:val="center"/>
              <w:rPr>
                <w:b/>
                <w:sz w:val="24"/>
                <w:szCs w:val="24"/>
              </w:rPr>
            </w:pPr>
            <w:r w:rsidRPr="00FC5BB6">
              <w:rPr>
                <w:b/>
                <w:sz w:val="24"/>
                <w:szCs w:val="24"/>
              </w:rPr>
              <w:t>2028 рік (прогноз)</w:t>
            </w:r>
          </w:p>
        </w:tc>
        <w:tc>
          <w:tcPr>
            <w:tcW w:w="1991" w:type="dxa"/>
            <w:vAlign w:val="center"/>
          </w:tcPr>
          <w:p w:rsidR="00672DA8" w:rsidRPr="00FC5BB6" w:rsidRDefault="00672DA8" w:rsidP="00EA1971">
            <w:pPr>
              <w:jc w:val="center"/>
              <w:rPr>
                <w:b/>
                <w:sz w:val="24"/>
                <w:szCs w:val="24"/>
              </w:rPr>
            </w:pPr>
            <w:r w:rsidRPr="00FC5BB6">
              <w:rPr>
                <w:b/>
                <w:sz w:val="24"/>
                <w:szCs w:val="24"/>
              </w:rPr>
              <w:t xml:space="preserve">Разом </w:t>
            </w:r>
          </w:p>
          <w:p w:rsidR="00672DA8" w:rsidRPr="00FC5BB6" w:rsidRDefault="00672DA8" w:rsidP="00EA1971">
            <w:pPr>
              <w:jc w:val="center"/>
              <w:rPr>
                <w:b/>
                <w:sz w:val="24"/>
                <w:szCs w:val="24"/>
              </w:rPr>
            </w:pPr>
            <w:r w:rsidRPr="00FC5BB6">
              <w:rPr>
                <w:b/>
                <w:sz w:val="24"/>
                <w:szCs w:val="24"/>
              </w:rPr>
              <w:t>2026-2028 роки</w:t>
            </w:r>
          </w:p>
          <w:p w:rsidR="00672DA8" w:rsidRPr="00FC5BB6" w:rsidRDefault="00672DA8" w:rsidP="00EA1971">
            <w:pPr>
              <w:jc w:val="center"/>
              <w:rPr>
                <w:b/>
                <w:sz w:val="24"/>
                <w:szCs w:val="24"/>
              </w:rPr>
            </w:pPr>
            <w:r w:rsidRPr="00FC5BB6">
              <w:rPr>
                <w:b/>
                <w:sz w:val="24"/>
                <w:szCs w:val="24"/>
              </w:rPr>
              <w:t xml:space="preserve">(прогноз) </w:t>
            </w:r>
          </w:p>
        </w:tc>
      </w:tr>
      <w:tr w:rsidR="00672DA8" w:rsidRPr="00FC5BB6" w:rsidTr="00EA1971">
        <w:trPr>
          <w:jc w:val="center"/>
        </w:trPr>
        <w:tc>
          <w:tcPr>
            <w:tcW w:w="2743" w:type="dxa"/>
            <w:vAlign w:val="center"/>
          </w:tcPr>
          <w:p w:rsidR="00672DA8" w:rsidRPr="00FC5BB6" w:rsidRDefault="00672DA8" w:rsidP="00EA1971">
            <w:pPr>
              <w:rPr>
                <w:szCs w:val="28"/>
              </w:rPr>
            </w:pPr>
            <w:r w:rsidRPr="00FC5BB6">
              <w:rPr>
                <w:szCs w:val="28"/>
              </w:rPr>
              <w:t>Кошти бюджету Лозівської міської територіальної громади</w:t>
            </w:r>
          </w:p>
        </w:tc>
        <w:tc>
          <w:tcPr>
            <w:tcW w:w="1701" w:type="dxa"/>
            <w:vAlign w:val="center"/>
          </w:tcPr>
          <w:p w:rsidR="00672DA8" w:rsidRPr="00FC5BB6" w:rsidRDefault="00672DA8" w:rsidP="00EA1971">
            <w:pPr>
              <w:ind w:left="-82"/>
              <w:jc w:val="center"/>
              <w:rPr>
                <w:szCs w:val="28"/>
              </w:rPr>
            </w:pPr>
            <w:r w:rsidRPr="00FC5BB6">
              <w:rPr>
                <w:szCs w:val="28"/>
              </w:rPr>
              <w:t>1 500 000</w:t>
            </w:r>
          </w:p>
        </w:tc>
        <w:tc>
          <w:tcPr>
            <w:tcW w:w="1701" w:type="dxa"/>
            <w:vAlign w:val="center"/>
          </w:tcPr>
          <w:p w:rsidR="00672DA8" w:rsidRPr="00FC5BB6" w:rsidRDefault="00672DA8" w:rsidP="00EA1971">
            <w:pPr>
              <w:ind w:left="-79"/>
              <w:jc w:val="center"/>
              <w:rPr>
                <w:szCs w:val="28"/>
              </w:rPr>
            </w:pPr>
            <w:r w:rsidRPr="00FC5BB6">
              <w:rPr>
                <w:szCs w:val="28"/>
              </w:rPr>
              <w:t>1 650 000</w:t>
            </w:r>
          </w:p>
        </w:tc>
        <w:tc>
          <w:tcPr>
            <w:tcW w:w="1701" w:type="dxa"/>
            <w:vAlign w:val="center"/>
          </w:tcPr>
          <w:p w:rsidR="00672DA8" w:rsidRPr="00FC5BB6" w:rsidRDefault="00672DA8" w:rsidP="00EA1971">
            <w:pPr>
              <w:ind w:left="-76"/>
              <w:jc w:val="center"/>
              <w:rPr>
                <w:szCs w:val="28"/>
              </w:rPr>
            </w:pPr>
            <w:r w:rsidRPr="00FC5BB6">
              <w:rPr>
                <w:szCs w:val="28"/>
              </w:rPr>
              <w:t>1 740 000</w:t>
            </w:r>
          </w:p>
        </w:tc>
        <w:tc>
          <w:tcPr>
            <w:tcW w:w="1991" w:type="dxa"/>
            <w:vAlign w:val="center"/>
          </w:tcPr>
          <w:p w:rsidR="00672DA8" w:rsidRPr="00FC5BB6" w:rsidRDefault="00672DA8" w:rsidP="00EA1971">
            <w:pPr>
              <w:jc w:val="center"/>
              <w:rPr>
                <w:szCs w:val="28"/>
              </w:rPr>
            </w:pPr>
            <w:r w:rsidRPr="00FC5BB6">
              <w:rPr>
                <w:b/>
                <w:bCs/>
                <w:szCs w:val="28"/>
              </w:rPr>
              <w:t>4 890 000</w:t>
            </w:r>
          </w:p>
        </w:tc>
      </w:tr>
    </w:tbl>
    <w:p w:rsidR="00672DA8" w:rsidRPr="00D17334" w:rsidRDefault="00672DA8" w:rsidP="000F67F9">
      <w:pPr>
        <w:ind w:firstLine="567"/>
        <w:rPr>
          <w:szCs w:val="28"/>
        </w:rPr>
      </w:pPr>
    </w:p>
    <w:p w:rsidR="00672DA8" w:rsidRPr="00D17334" w:rsidRDefault="00672DA8" w:rsidP="000F67F9">
      <w:pPr>
        <w:ind w:firstLine="567"/>
        <w:rPr>
          <w:szCs w:val="28"/>
        </w:rPr>
      </w:pPr>
      <w:r w:rsidRPr="00D17334">
        <w:rPr>
          <w:szCs w:val="28"/>
        </w:rPr>
        <w:t>Розподіл орієнтовного граничного сукупного обсягу публічних інвестиційна 2026, 2027, 2028 роки на галузі (сектори) для публічного інвестування в межах доведеного Фінансовим управлінням Лозівської міської ради орієнтованого граничного сукупного обсягу публічних інвестицій на середньостроковий період має таку структуру:</w:t>
      </w:r>
    </w:p>
    <w:p w:rsidR="00672DA8" w:rsidRDefault="00672DA8" w:rsidP="000F67F9">
      <w:pPr>
        <w:ind w:firstLine="567"/>
        <w:rPr>
          <w:szCs w:val="28"/>
        </w:rPr>
      </w:pPr>
    </w:p>
    <w:p w:rsidR="00672DA8" w:rsidRDefault="00672DA8" w:rsidP="000F67F9">
      <w:pPr>
        <w:ind w:firstLine="567"/>
        <w:rPr>
          <w:szCs w:val="28"/>
        </w:rPr>
      </w:pPr>
    </w:p>
    <w:p w:rsidR="00672DA8" w:rsidRDefault="00672DA8" w:rsidP="000F67F9">
      <w:pPr>
        <w:ind w:firstLine="567"/>
        <w:rPr>
          <w:szCs w:val="28"/>
        </w:rPr>
      </w:pPr>
    </w:p>
    <w:p w:rsidR="00672DA8" w:rsidRDefault="00672DA8" w:rsidP="000F67F9">
      <w:pPr>
        <w:ind w:firstLine="567"/>
        <w:rPr>
          <w:szCs w:val="28"/>
        </w:rPr>
      </w:pPr>
    </w:p>
    <w:p w:rsidR="00672DA8" w:rsidRDefault="00672DA8" w:rsidP="000F67F9">
      <w:pPr>
        <w:ind w:firstLine="567"/>
        <w:rPr>
          <w:szCs w:val="28"/>
        </w:rPr>
      </w:pPr>
    </w:p>
    <w:p w:rsidR="00672DA8" w:rsidRPr="00D17334" w:rsidRDefault="00672DA8" w:rsidP="000F67F9">
      <w:pPr>
        <w:ind w:firstLine="567"/>
        <w:rPr>
          <w:szCs w:val="28"/>
        </w:rPr>
      </w:pPr>
    </w:p>
    <w:p w:rsidR="00672DA8" w:rsidRPr="00D17334" w:rsidRDefault="00672DA8" w:rsidP="000F67F9">
      <w:pPr>
        <w:ind w:firstLine="567"/>
        <w:jc w:val="right"/>
        <w:rPr>
          <w:b/>
          <w:szCs w:val="28"/>
        </w:rPr>
      </w:pPr>
      <w:r w:rsidRPr="00D17334">
        <w:rPr>
          <w:b/>
          <w:szCs w:val="28"/>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1560"/>
        <w:gridCol w:w="1559"/>
        <w:gridCol w:w="1559"/>
        <w:gridCol w:w="2403"/>
      </w:tblGrid>
      <w:tr w:rsidR="00672DA8" w:rsidRPr="00FC5BB6" w:rsidTr="00BD540D">
        <w:trPr>
          <w:tblHeader/>
        </w:trPr>
        <w:tc>
          <w:tcPr>
            <w:tcW w:w="2830" w:type="dxa"/>
            <w:vAlign w:val="center"/>
          </w:tcPr>
          <w:p w:rsidR="00672DA8" w:rsidRPr="00FC5BB6" w:rsidRDefault="00672DA8" w:rsidP="00EA1971">
            <w:pPr>
              <w:spacing w:line="276" w:lineRule="auto"/>
              <w:jc w:val="center"/>
              <w:rPr>
                <w:b/>
                <w:sz w:val="24"/>
                <w:szCs w:val="24"/>
              </w:rPr>
            </w:pPr>
            <w:r w:rsidRPr="00FC5BB6">
              <w:rPr>
                <w:b/>
                <w:sz w:val="24"/>
                <w:szCs w:val="24"/>
              </w:rPr>
              <w:t>Галузь (сектор)</w:t>
            </w:r>
          </w:p>
        </w:tc>
        <w:tc>
          <w:tcPr>
            <w:tcW w:w="1560" w:type="dxa"/>
            <w:vAlign w:val="center"/>
          </w:tcPr>
          <w:p w:rsidR="00672DA8" w:rsidRPr="00FC5BB6" w:rsidRDefault="00672DA8" w:rsidP="00EA1971">
            <w:pPr>
              <w:spacing w:line="276" w:lineRule="auto"/>
              <w:jc w:val="center"/>
              <w:rPr>
                <w:b/>
                <w:sz w:val="24"/>
                <w:szCs w:val="24"/>
              </w:rPr>
            </w:pPr>
            <w:r w:rsidRPr="00FC5BB6">
              <w:rPr>
                <w:b/>
                <w:sz w:val="24"/>
                <w:szCs w:val="24"/>
              </w:rPr>
              <w:t>Граничний розподіл на 2026 рік</w:t>
            </w:r>
          </w:p>
          <w:p w:rsidR="00672DA8" w:rsidRPr="00FC5BB6" w:rsidRDefault="00672DA8" w:rsidP="00EA1971">
            <w:pPr>
              <w:spacing w:line="276" w:lineRule="auto"/>
              <w:jc w:val="center"/>
              <w:rPr>
                <w:b/>
                <w:sz w:val="24"/>
                <w:szCs w:val="24"/>
              </w:rPr>
            </w:pPr>
          </w:p>
        </w:tc>
        <w:tc>
          <w:tcPr>
            <w:tcW w:w="1559" w:type="dxa"/>
            <w:vAlign w:val="center"/>
          </w:tcPr>
          <w:p w:rsidR="00672DA8" w:rsidRPr="00FC5BB6" w:rsidRDefault="00672DA8" w:rsidP="00EA1971">
            <w:pPr>
              <w:spacing w:line="276" w:lineRule="auto"/>
              <w:jc w:val="center"/>
              <w:rPr>
                <w:b/>
                <w:sz w:val="24"/>
                <w:szCs w:val="24"/>
              </w:rPr>
            </w:pPr>
            <w:r w:rsidRPr="00FC5BB6">
              <w:rPr>
                <w:b/>
                <w:sz w:val="24"/>
                <w:szCs w:val="24"/>
              </w:rPr>
              <w:t>Граничний розподіл на 2027 рік</w:t>
            </w:r>
          </w:p>
          <w:p w:rsidR="00672DA8" w:rsidRPr="00FC5BB6" w:rsidRDefault="00672DA8" w:rsidP="00EA1971">
            <w:pPr>
              <w:spacing w:line="276" w:lineRule="auto"/>
              <w:jc w:val="center"/>
              <w:rPr>
                <w:b/>
                <w:sz w:val="24"/>
                <w:szCs w:val="24"/>
              </w:rPr>
            </w:pPr>
          </w:p>
        </w:tc>
        <w:tc>
          <w:tcPr>
            <w:tcW w:w="1559" w:type="dxa"/>
            <w:vAlign w:val="center"/>
          </w:tcPr>
          <w:p w:rsidR="00672DA8" w:rsidRPr="00FC5BB6" w:rsidRDefault="00672DA8" w:rsidP="00EA1971">
            <w:pPr>
              <w:spacing w:line="276" w:lineRule="auto"/>
              <w:jc w:val="center"/>
              <w:rPr>
                <w:b/>
                <w:sz w:val="24"/>
                <w:szCs w:val="24"/>
              </w:rPr>
            </w:pPr>
            <w:r w:rsidRPr="00FC5BB6">
              <w:rPr>
                <w:b/>
                <w:sz w:val="24"/>
                <w:szCs w:val="24"/>
              </w:rPr>
              <w:t>Граничний розподіл на 2028 рік</w:t>
            </w:r>
          </w:p>
          <w:p w:rsidR="00672DA8" w:rsidRPr="00FC5BB6" w:rsidRDefault="00672DA8" w:rsidP="00EA1971">
            <w:pPr>
              <w:spacing w:line="276" w:lineRule="auto"/>
              <w:jc w:val="center"/>
              <w:rPr>
                <w:b/>
                <w:sz w:val="24"/>
                <w:szCs w:val="24"/>
              </w:rPr>
            </w:pPr>
          </w:p>
        </w:tc>
        <w:tc>
          <w:tcPr>
            <w:tcW w:w="2403" w:type="dxa"/>
            <w:vAlign w:val="center"/>
          </w:tcPr>
          <w:p w:rsidR="00672DA8" w:rsidRPr="00FC5BB6" w:rsidRDefault="00672DA8" w:rsidP="00D5162C">
            <w:pPr>
              <w:spacing w:line="276" w:lineRule="auto"/>
              <w:jc w:val="center"/>
              <w:rPr>
                <w:b/>
                <w:sz w:val="24"/>
                <w:szCs w:val="24"/>
              </w:rPr>
            </w:pPr>
            <w:r w:rsidRPr="00FC5BB6">
              <w:rPr>
                <w:b/>
                <w:sz w:val="24"/>
                <w:szCs w:val="24"/>
              </w:rPr>
              <w:t>Граничний розподіл на середньостроковий період</w:t>
            </w:r>
          </w:p>
        </w:tc>
      </w:tr>
      <w:tr w:rsidR="00672DA8" w:rsidRPr="00FC5BB6" w:rsidTr="00D5162C">
        <w:tc>
          <w:tcPr>
            <w:tcW w:w="2830" w:type="dxa"/>
          </w:tcPr>
          <w:p w:rsidR="00672DA8" w:rsidRPr="00FC5BB6" w:rsidRDefault="00672DA8" w:rsidP="008E104F">
            <w:pPr>
              <w:spacing w:line="276" w:lineRule="auto"/>
              <w:rPr>
                <w:szCs w:val="28"/>
              </w:rPr>
            </w:pPr>
            <w:r w:rsidRPr="00FC5BB6">
              <w:rPr>
                <w:szCs w:val="28"/>
              </w:rPr>
              <w:t>освіта і наука</w:t>
            </w:r>
          </w:p>
        </w:tc>
        <w:tc>
          <w:tcPr>
            <w:tcW w:w="1560" w:type="dxa"/>
            <w:vAlign w:val="center"/>
          </w:tcPr>
          <w:p w:rsidR="00672DA8" w:rsidRPr="00FC5BB6" w:rsidRDefault="00672DA8" w:rsidP="00D5162C">
            <w:pPr>
              <w:spacing w:line="276" w:lineRule="auto"/>
              <w:jc w:val="right"/>
              <w:rPr>
                <w:szCs w:val="28"/>
              </w:rPr>
            </w:pPr>
            <w:r w:rsidRPr="00FC5BB6">
              <w:rPr>
                <w:szCs w:val="28"/>
              </w:rPr>
              <w:t>630 000</w:t>
            </w:r>
          </w:p>
        </w:tc>
        <w:tc>
          <w:tcPr>
            <w:tcW w:w="1559" w:type="dxa"/>
            <w:vAlign w:val="center"/>
          </w:tcPr>
          <w:p w:rsidR="00672DA8" w:rsidRPr="00FC5BB6" w:rsidRDefault="00672DA8" w:rsidP="00D5162C">
            <w:pPr>
              <w:spacing w:line="276" w:lineRule="auto"/>
              <w:jc w:val="right"/>
              <w:rPr>
                <w:szCs w:val="28"/>
              </w:rPr>
            </w:pPr>
            <w:r w:rsidRPr="00FC5BB6">
              <w:rPr>
                <w:szCs w:val="28"/>
              </w:rPr>
              <w:t>745 000</w:t>
            </w:r>
          </w:p>
        </w:tc>
        <w:tc>
          <w:tcPr>
            <w:tcW w:w="1559" w:type="dxa"/>
            <w:vAlign w:val="center"/>
          </w:tcPr>
          <w:p w:rsidR="00672DA8" w:rsidRPr="00FC5BB6" w:rsidRDefault="00672DA8" w:rsidP="00D5162C">
            <w:pPr>
              <w:spacing w:line="276" w:lineRule="auto"/>
              <w:jc w:val="right"/>
            </w:pPr>
            <w:r w:rsidRPr="00FC5BB6">
              <w:rPr>
                <w:szCs w:val="28"/>
              </w:rPr>
              <w:t>920 </w:t>
            </w:r>
            <w:r w:rsidRPr="00FC5BB6">
              <w:t>000</w:t>
            </w:r>
          </w:p>
        </w:tc>
        <w:tc>
          <w:tcPr>
            <w:tcW w:w="2403" w:type="dxa"/>
            <w:vAlign w:val="center"/>
          </w:tcPr>
          <w:p w:rsidR="00672DA8" w:rsidRPr="00FC5BB6" w:rsidRDefault="00672DA8" w:rsidP="00D5162C">
            <w:pPr>
              <w:spacing w:line="276" w:lineRule="auto"/>
              <w:jc w:val="right"/>
              <w:rPr>
                <w:szCs w:val="28"/>
              </w:rPr>
            </w:pPr>
            <w:r w:rsidRPr="00FC5BB6">
              <w:rPr>
                <w:szCs w:val="28"/>
              </w:rPr>
              <w:t>2 295 000</w:t>
            </w:r>
          </w:p>
        </w:tc>
      </w:tr>
      <w:tr w:rsidR="00672DA8" w:rsidRPr="00FC5BB6" w:rsidTr="00D5162C">
        <w:tc>
          <w:tcPr>
            <w:tcW w:w="2830" w:type="dxa"/>
          </w:tcPr>
          <w:p w:rsidR="00672DA8" w:rsidRPr="00FC5BB6" w:rsidRDefault="00672DA8" w:rsidP="008E104F">
            <w:pPr>
              <w:spacing w:line="276" w:lineRule="auto"/>
              <w:rPr>
                <w:szCs w:val="28"/>
              </w:rPr>
            </w:pPr>
            <w:r w:rsidRPr="00FC5BB6">
              <w:rPr>
                <w:szCs w:val="28"/>
              </w:rPr>
              <w:t>муніципальна інфраструктура та послуги</w:t>
            </w:r>
          </w:p>
        </w:tc>
        <w:tc>
          <w:tcPr>
            <w:tcW w:w="1560" w:type="dxa"/>
            <w:vAlign w:val="center"/>
          </w:tcPr>
          <w:p w:rsidR="00672DA8" w:rsidRPr="00FC5BB6" w:rsidRDefault="00672DA8" w:rsidP="00D5162C">
            <w:pPr>
              <w:spacing w:line="276" w:lineRule="auto"/>
              <w:jc w:val="right"/>
              <w:rPr>
                <w:szCs w:val="28"/>
              </w:rPr>
            </w:pPr>
            <w:r w:rsidRPr="00FC5BB6">
              <w:rPr>
                <w:szCs w:val="28"/>
              </w:rPr>
              <w:t>255 000</w:t>
            </w:r>
          </w:p>
        </w:tc>
        <w:tc>
          <w:tcPr>
            <w:tcW w:w="1559" w:type="dxa"/>
            <w:vAlign w:val="center"/>
          </w:tcPr>
          <w:p w:rsidR="00672DA8" w:rsidRPr="00FC5BB6" w:rsidRDefault="00672DA8" w:rsidP="00D5162C">
            <w:pPr>
              <w:spacing w:line="276" w:lineRule="auto"/>
              <w:jc w:val="right"/>
              <w:rPr>
                <w:szCs w:val="28"/>
              </w:rPr>
            </w:pPr>
            <w:r w:rsidRPr="00FC5BB6">
              <w:rPr>
                <w:szCs w:val="28"/>
              </w:rPr>
              <w:t>310 000</w:t>
            </w:r>
          </w:p>
        </w:tc>
        <w:tc>
          <w:tcPr>
            <w:tcW w:w="1559" w:type="dxa"/>
            <w:vAlign w:val="center"/>
          </w:tcPr>
          <w:p w:rsidR="00672DA8" w:rsidRPr="00FC5BB6" w:rsidRDefault="00672DA8" w:rsidP="00D5162C">
            <w:pPr>
              <w:spacing w:line="276" w:lineRule="auto"/>
              <w:jc w:val="right"/>
              <w:rPr>
                <w:szCs w:val="28"/>
              </w:rPr>
            </w:pPr>
            <w:r w:rsidRPr="00FC5BB6">
              <w:rPr>
                <w:szCs w:val="28"/>
              </w:rPr>
              <w:t>420 000</w:t>
            </w:r>
          </w:p>
        </w:tc>
        <w:tc>
          <w:tcPr>
            <w:tcW w:w="2403" w:type="dxa"/>
            <w:vAlign w:val="center"/>
          </w:tcPr>
          <w:p w:rsidR="00672DA8" w:rsidRPr="00FC5BB6" w:rsidRDefault="00672DA8" w:rsidP="00D5162C">
            <w:pPr>
              <w:spacing w:line="276" w:lineRule="auto"/>
              <w:jc w:val="right"/>
              <w:rPr>
                <w:szCs w:val="28"/>
              </w:rPr>
            </w:pPr>
            <w:r w:rsidRPr="00FC5BB6">
              <w:rPr>
                <w:szCs w:val="28"/>
              </w:rPr>
              <w:t>985 000</w:t>
            </w:r>
          </w:p>
        </w:tc>
      </w:tr>
      <w:tr w:rsidR="00672DA8" w:rsidRPr="00FC5BB6" w:rsidTr="00D5162C">
        <w:tc>
          <w:tcPr>
            <w:tcW w:w="2830" w:type="dxa"/>
          </w:tcPr>
          <w:p w:rsidR="00672DA8" w:rsidRPr="00FC5BB6" w:rsidRDefault="00672DA8" w:rsidP="008E104F">
            <w:pPr>
              <w:spacing w:line="276" w:lineRule="auto"/>
              <w:rPr>
                <w:szCs w:val="28"/>
              </w:rPr>
            </w:pPr>
            <w:r w:rsidRPr="00FC5BB6">
              <w:rPr>
                <w:szCs w:val="28"/>
              </w:rPr>
              <w:t>охорона здоров’я</w:t>
            </w:r>
          </w:p>
        </w:tc>
        <w:tc>
          <w:tcPr>
            <w:tcW w:w="1560" w:type="dxa"/>
            <w:vAlign w:val="center"/>
          </w:tcPr>
          <w:p w:rsidR="00672DA8" w:rsidRPr="00FC5BB6" w:rsidRDefault="00672DA8" w:rsidP="00D5162C">
            <w:pPr>
              <w:spacing w:line="276" w:lineRule="auto"/>
              <w:jc w:val="right"/>
              <w:rPr>
                <w:szCs w:val="28"/>
              </w:rPr>
            </w:pPr>
            <w:r w:rsidRPr="00FC5BB6">
              <w:rPr>
                <w:szCs w:val="28"/>
              </w:rPr>
              <w:t>365 000</w:t>
            </w:r>
          </w:p>
        </w:tc>
        <w:tc>
          <w:tcPr>
            <w:tcW w:w="1559" w:type="dxa"/>
            <w:vAlign w:val="center"/>
          </w:tcPr>
          <w:p w:rsidR="00672DA8" w:rsidRPr="00FC5BB6" w:rsidRDefault="00672DA8" w:rsidP="00D5162C">
            <w:pPr>
              <w:spacing w:line="276" w:lineRule="auto"/>
              <w:jc w:val="right"/>
              <w:rPr>
                <w:szCs w:val="28"/>
              </w:rPr>
            </w:pPr>
            <w:r w:rsidRPr="00FC5BB6">
              <w:rPr>
                <w:szCs w:val="28"/>
              </w:rPr>
              <w:t>270 000</w:t>
            </w:r>
          </w:p>
        </w:tc>
        <w:tc>
          <w:tcPr>
            <w:tcW w:w="1559" w:type="dxa"/>
            <w:vAlign w:val="center"/>
          </w:tcPr>
          <w:p w:rsidR="00672DA8" w:rsidRPr="00FC5BB6" w:rsidRDefault="00672DA8" w:rsidP="00D5162C">
            <w:pPr>
              <w:spacing w:line="276" w:lineRule="auto"/>
              <w:jc w:val="right"/>
              <w:rPr>
                <w:szCs w:val="28"/>
              </w:rPr>
            </w:pPr>
            <w:r w:rsidRPr="00FC5BB6">
              <w:rPr>
                <w:szCs w:val="28"/>
              </w:rPr>
              <w:t>0</w:t>
            </w:r>
          </w:p>
        </w:tc>
        <w:tc>
          <w:tcPr>
            <w:tcW w:w="2403" w:type="dxa"/>
            <w:vAlign w:val="center"/>
          </w:tcPr>
          <w:p w:rsidR="00672DA8" w:rsidRPr="00FC5BB6" w:rsidRDefault="00672DA8" w:rsidP="00D5162C">
            <w:pPr>
              <w:spacing w:line="276" w:lineRule="auto"/>
              <w:jc w:val="right"/>
              <w:rPr>
                <w:szCs w:val="28"/>
              </w:rPr>
            </w:pPr>
            <w:r w:rsidRPr="00FC5BB6">
              <w:rPr>
                <w:szCs w:val="28"/>
              </w:rPr>
              <w:t>635 000</w:t>
            </w:r>
          </w:p>
        </w:tc>
      </w:tr>
      <w:tr w:rsidR="00672DA8" w:rsidRPr="00FC5BB6" w:rsidTr="00D5162C">
        <w:tc>
          <w:tcPr>
            <w:tcW w:w="2830" w:type="dxa"/>
          </w:tcPr>
          <w:p w:rsidR="00672DA8" w:rsidRPr="00FC5BB6" w:rsidRDefault="00672DA8" w:rsidP="008E104F">
            <w:pPr>
              <w:spacing w:line="276" w:lineRule="auto"/>
              <w:rPr>
                <w:szCs w:val="28"/>
              </w:rPr>
            </w:pPr>
            <w:r w:rsidRPr="00FC5BB6">
              <w:rPr>
                <w:szCs w:val="28"/>
              </w:rPr>
              <w:t>соціальна сфера</w:t>
            </w:r>
          </w:p>
        </w:tc>
        <w:tc>
          <w:tcPr>
            <w:tcW w:w="1560" w:type="dxa"/>
            <w:vAlign w:val="center"/>
          </w:tcPr>
          <w:p w:rsidR="00672DA8" w:rsidRPr="00FC5BB6" w:rsidRDefault="00672DA8" w:rsidP="00D5162C">
            <w:pPr>
              <w:spacing w:line="276" w:lineRule="auto"/>
              <w:jc w:val="right"/>
              <w:rPr>
                <w:szCs w:val="28"/>
              </w:rPr>
            </w:pPr>
            <w:r w:rsidRPr="00FC5BB6">
              <w:rPr>
                <w:szCs w:val="28"/>
              </w:rPr>
              <w:t>60 000</w:t>
            </w:r>
          </w:p>
        </w:tc>
        <w:tc>
          <w:tcPr>
            <w:tcW w:w="1559" w:type="dxa"/>
            <w:vAlign w:val="center"/>
          </w:tcPr>
          <w:p w:rsidR="00672DA8" w:rsidRPr="00FC5BB6" w:rsidRDefault="00672DA8" w:rsidP="00D5162C">
            <w:pPr>
              <w:spacing w:line="276" w:lineRule="auto"/>
              <w:jc w:val="right"/>
              <w:rPr>
                <w:szCs w:val="28"/>
              </w:rPr>
            </w:pPr>
            <w:r w:rsidRPr="00FC5BB6">
              <w:rPr>
                <w:szCs w:val="28"/>
              </w:rPr>
              <w:t>75 000</w:t>
            </w:r>
          </w:p>
        </w:tc>
        <w:tc>
          <w:tcPr>
            <w:tcW w:w="1559" w:type="dxa"/>
            <w:vAlign w:val="center"/>
          </w:tcPr>
          <w:p w:rsidR="00672DA8" w:rsidRPr="00FC5BB6" w:rsidRDefault="00672DA8" w:rsidP="00D5162C">
            <w:pPr>
              <w:spacing w:line="276" w:lineRule="auto"/>
              <w:jc w:val="right"/>
              <w:rPr>
                <w:szCs w:val="28"/>
              </w:rPr>
            </w:pPr>
            <w:r w:rsidRPr="00FC5BB6">
              <w:rPr>
                <w:szCs w:val="28"/>
              </w:rPr>
              <w:t>90 000</w:t>
            </w:r>
          </w:p>
        </w:tc>
        <w:tc>
          <w:tcPr>
            <w:tcW w:w="2403" w:type="dxa"/>
            <w:vAlign w:val="center"/>
          </w:tcPr>
          <w:p w:rsidR="00672DA8" w:rsidRPr="00FC5BB6" w:rsidRDefault="00672DA8" w:rsidP="00D5162C">
            <w:pPr>
              <w:spacing w:line="276" w:lineRule="auto"/>
              <w:jc w:val="right"/>
              <w:rPr>
                <w:szCs w:val="28"/>
              </w:rPr>
            </w:pPr>
            <w:r w:rsidRPr="00FC5BB6">
              <w:rPr>
                <w:szCs w:val="28"/>
              </w:rPr>
              <w:t>225 000</w:t>
            </w:r>
          </w:p>
        </w:tc>
      </w:tr>
      <w:tr w:rsidR="00672DA8" w:rsidRPr="00FC5BB6" w:rsidTr="00D5162C">
        <w:tc>
          <w:tcPr>
            <w:tcW w:w="2830" w:type="dxa"/>
          </w:tcPr>
          <w:p w:rsidR="00672DA8" w:rsidRPr="00FC5BB6" w:rsidRDefault="00672DA8" w:rsidP="008E104F">
            <w:pPr>
              <w:rPr>
                <w:szCs w:val="28"/>
              </w:rPr>
            </w:pPr>
            <w:r w:rsidRPr="00FC5BB6">
              <w:rPr>
                <w:szCs w:val="28"/>
              </w:rPr>
              <w:t>громадська безпека</w:t>
            </w:r>
          </w:p>
        </w:tc>
        <w:tc>
          <w:tcPr>
            <w:tcW w:w="1560" w:type="dxa"/>
            <w:vAlign w:val="center"/>
          </w:tcPr>
          <w:p w:rsidR="00672DA8" w:rsidRPr="00FC5BB6" w:rsidRDefault="00672DA8" w:rsidP="00D5162C">
            <w:pPr>
              <w:jc w:val="right"/>
              <w:rPr>
                <w:szCs w:val="28"/>
              </w:rPr>
            </w:pPr>
            <w:r w:rsidRPr="00FC5BB6">
              <w:rPr>
                <w:szCs w:val="28"/>
              </w:rPr>
              <w:t>90 000</w:t>
            </w:r>
          </w:p>
        </w:tc>
        <w:tc>
          <w:tcPr>
            <w:tcW w:w="1559" w:type="dxa"/>
            <w:vAlign w:val="center"/>
          </w:tcPr>
          <w:p w:rsidR="00672DA8" w:rsidRPr="00FC5BB6" w:rsidRDefault="00672DA8" w:rsidP="00D5162C">
            <w:pPr>
              <w:jc w:val="right"/>
              <w:rPr>
                <w:szCs w:val="28"/>
              </w:rPr>
            </w:pPr>
            <w:r w:rsidRPr="00FC5BB6">
              <w:rPr>
                <w:szCs w:val="28"/>
              </w:rPr>
              <w:t>100 000</w:t>
            </w:r>
          </w:p>
        </w:tc>
        <w:tc>
          <w:tcPr>
            <w:tcW w:w="1559" w:type="dxa"/>
            <w:vAlign w:val="center"/>
          </w:tcPr>
          <w:p w:rsidR="00672DA8" w:rsidRPr="00FC5BB6" w:rsidRDefault="00672DA8" w:rsidP="00D5162C">
            <w:pPr>
              <w:jc w:val="right"/>
              <w:rPr>
                <w:szCs w:val="28"/>
              </w:rPr>
            </w:pPr>
            <w:r w:rsidRPr="00FC5BB6">
              <w:rPr>
                <w:szCs w:val="28"/>
              </w:rPr>
              <w:t>130 000</w:t>
            </w:r>
          </w:p>
        </w:tc>
        <w:tc>
          <w:tcPr>
            <w:tcW w:w="2403" w:type="dxa"/>
            <w:vAlign w:val="center"/>
          </w:tcPr>
          <w:p w:rsidR="00672DA8" w:rsidRPr="00FC5BB6" w:rsidRDefault="00672DA8" w:rsidP="00D5162C">
            <w:pPr>
              <w:jc w:val="right"/>
              <w:rPr>
                <w:szCs w:val="28"/>
              </w:rPr>
            </w:pPr>
            <w:r w:rsidRPr="00FC5BB6">
              <w:rPr>
                <w:szCs w:val="28"/>
              </w:rPr>
              <w:t>320 000</w:t>
            </w:r>
          </w:p>
        </w:tc>
      </w:tr>
      <w:tr w:rsidR="00672DA8" w:rsidRPr="00FC5BB6" w:rsidTr="00D5162C">
        <w:tc>
          <w:tcPr>
            <w:tcW w:w="2830" w:type="dxa"/>
          </w:tcPr>
          <w:p w:rsidR="00672DA8" w:rsidRPr="00FC5BB6" w:rsidRDefault="00672DA8" w:rsidP="008E104F">
            <w:pPr>
              <w:spacing w:line="276" w:lineRule="auto"/>
              <w:rPr>
                <w:szCs w:val="28"/>
              </w:rPr>
            </w:pPr>
            <w:r w:rsidRPr="00FC5BB6">
              <w:rPr>
                <w:szCs w:val="28"/>
              </w:rPr>
              <w:t>житло</w:t>
            </w:r>
          </w:p>
        </w:tc>
        <w:tc>
          <w:tcPr>
            <w:tcW w:w="1560" w:type="dxa"/>
            <w:vAlign w:val="center"/>
          </w:tcPr>
          <w:p w:rsidR="00672DA8" w:rsidRPr="00FC5BB6" w:rsidRDefault="00672DA8" w:rsidP="00D5162C">
            <w:pPr>
              <w:spacing w:line="276" w:lineRule="auto"/>
              <w:jc w:val="right"/>
              <w:rPr>
                <w:szCs w:val="28"/>
              </w:rPr>
            </w:pPr>
            <w:r w:rsidRPr="00FC5BB6">
              <w:rPr>
                <w:szCs w:val="28"/>
              </w:rPr>
              <w:t>20 000</w:t>
            </w:r>
          </w:p>
        </w:tc>
        <w:tc>
          <w:tcPr>
            <w:tcW w:w="1559" w:type="dxa"/>
            <w:vAlign w:val="center"/>
          </w:tcPr>
          <w:p w:rsidR="00672DA8" w:rsidRPr="00FC5BB6" w:rsidRDefault="00672DA8" w:rsidP="00D5162C">
            <w:pPr>
              <w:spacing w:line="276" w:lineRule="auto"/>
              <w:jc w:val="right"/>
              <w:rPr>
                <w:szCs w:val="28"/>
              </w:rPr>
            </w:pPr>
            <w:r w:rsidRPr="00FC5BB6">
              <w:rPr>
                <w:szCs w:val="28"/>
              </w:rPr>
              <w:t>55 000</w:t>
            </w:r>
          </w:p>
        </w:tc>
        <w:tc>
          <w:tcPr>
            <w:tcW w:w="1559" w:type="dxa"/>
            <w:vAlign w:val="center"/>
          </w:tcPr>
          <w:p w:rsidR="00672DA8" w:rsidRPr="00FC5BB6" w:rsidRDefault="00672DA8" w:rsidP="00D5162C">
            <w:pPr>
              <w:spacing w:line="276" w:lineRule="auto"/>
              <w:jc w:val="right"/>
              <w:rPr>
                <w:szCs w:val="28"/>
              </w:rPr>
            </w:pPr>
            <w:r w:rsidRPr="00FC5BB6">
              <w:rPr>
                <w:szCs w:val="28"/>
              </w:rPr>
              <w:t>60 000</w:t>
            </w:r>
          </w:p>
        </w:tc>
        <w:tc>
          <w:tcPr>
            <w:tcW w:w="2403" w:type="dxa"/>
            <w:vAlign w:val="center"/>
          </w:tcPr>
          <w:p w:rsidR="00672DA8" w:rsidRPr="00FC5BB6" w:rsidRDefault="00672DA8" w:rsidP="00D5162C">
            <w:pPr>
              <w:spacing w:line="276" w:lineRule="auto"/>
              <w:jc w:val="right"/>
              <w:rPr>
                <w:szCs w:val="28"/>
              </w:rPr>
            </w:pPr>
            <w:r w:rsidRPr="00FC5BB6">
              <w:rPr>
                <w:szCs w:val="28"/>
              </w:rPr>
              <w:t>135 000</w:t>
            </w:r>
          </w:p>
        </w:tc>
      </w:tr>
      <w:tr w:rsidR="00672DA8" w:rsidRPr="00FC5BB6" w:rsidTr="00D5162C">
        <w:tc>
          <w:tcPr>
            <w:tcW w:w="2830" w:type="dxa"/>
          </w:tcPr>
          <w:p w:rsidR="00672DA8" w:rsidRPr="00FC5BB6" w:rsidRDefault="00672DA8" w:rsidP="008E104F">
            <w:pPr>
              <w:spacing w:line="276" w:lineRule="auto"/>
              <w:rPr>
                <w:szCs w:val="28"/>
              </w:rPr>
            </w:pPr>
            <w:r w:rsidRPr="00FC5BB6">
              <w:rPr>
                <w:szCs w:val="28"/>
              </w:rPr>
              <w:t>транспорт</w:t>
            </w:r>
          </w:p>
        </w:tc>
        <w:tc>
          <w:tcPr>
            <w:tcW w:w="1560" w:type="dxa"/>
            <w:vAlign w:val="center"/>
          </w:tcPr>
          <w:p w:rsidR="00672DA8" w:rsidRPr="00FC5BB6" w:rsidRDefault="00672DA8" w:rsidP="00D5162C">
            <w:pPr>
              <w:spacing w:line="276" w:lineRule="auto"/>
              <w:jc w:val="right"/>
              <w:rPr>
                <w:szCs w:val="28"/>
              </w:rPr>
            </w:pPr>
            <w:r w:rsidRPr="00FC5BB6">
              <w:rPr>
                <w:szCs w:val="28"/>
              </w:rPr>
              <w:t>40 000</w:t>
            </w:r>
          </w:p>
        </w:tc>
        <w:tc>
          <w:tcPr>
            <w:tcW w:w="1559" w:type="dxa"/>
            <w:vAlign w:val="center"/>
          </w:tcPr>
          <w:p w:rsidR="00672DA8" w:rsidRPr="00FC5BB6" w:rsidRDefault="00672DA8" w:rsidP="00D5162C">
            <w:pPr>
              <w:spacing w:line="276" w:lineRule="auto"/>
              <w:jc w:val="right"/>
              <w:rPr>
                <w:szCs w:val="28"/>
              </w:rPr>
            </w:pPr>
            <w:r w:rsidRPr="00FC5BB6">
              <w:rPr>
                <w:szCs w:val="28"/>
              </w:rPr>
              <w:t>45 000</w:t>
            </w:r>
          </w:p>
        </w:tc>
        <w:tc>
          <w:tcPr>
            <w:tcW w:w="1559" w:type="dxa"/>
            <w:vAlign w:val="center"/>
          </w:tcPr>
          <w:p w:rsidR="00672DA8" w:rsidRPr="00FC5BB6" w:rsidRDefault="00672DA8" w:rsidP="00D5162C">
            <w:pPr>
              <w:spacing w:line="276" w:lineRule="auto"/>
              <w:jc w:val="right"/>
              <w:rPr>
                <w:szCs w:val="28"/>
              </w:rPr>
            </w:pPr>
            <w:r w:rsidRPr="00FC5BB6">
              <w:rPr>
                <w:szCs w:val="28"/>
              </w:rPr>
              <w:t>60 000</w:t>
            </w:r>
          </w:p>
        </w:tc>
        <w:tc>
          <w:tcPr>
            <w:tcW w:w="2403" w:type="dxa"/>
            <w:vAlign w:val="center"/>
          </w:tcPr>
          <w:p w:rsidR="00672DA8" w:rsidRPr="00FC5BB6" w:rsidRDefault="00672DA8" w:rsidP="00D5162C">
            <w:pPr>
              <w:spacing w:line="276" w:lineRule="auto"/>
              <w:jc w:val="right"/>
              <w:rPr>
                <w:szCs w:val="28"/>
              </w:rPr>
            </w:pPr>
            <w:r w:rsidRPr="00FC5BB6">
              <w:rPr>
                <w:szCs w:val="28"/>
              </w:rPr>
              <w:t>145 000</w:t>
            </w:r>
          </w:p>
        </w:tc>
      </w:tr>
      <w:tr w:rsidR="00672DA8" w:rsidRPr="00FC5BB6" w:rsidTr="00D5162C">
        <w:tc>
          <w:tcPr>
            <w:tcW w:w="2830" w:type="dxa"/>
          </w:tcPr>
          <w:p w:rsidR="00672DA8" w:rsidRPr="00FC5BB6" w:rsidRDefault="00672DA8" w:rsidP="00B706E0">
            <w:pPr>
              <w:spacing w:line="276" w:lineRule="auto"/>
              <w:rPr>
                <w:szCs w:val="28"/>
              </w:rPr>
            </w:pPr>
            <w:r w:rsidRPr="00FC5BB6">
              <w:rPr>
                <w:szCs w:val="28"/>
              </w:rPr>
              <w:t>енергетика</w:t>
            </w:r>
          </w:p>
        </w:tc>
        <w:tc>
          <w:tcPr>
            <w:tcW w:w="1560" w:type="dxa"/>
            <w:vAlign w:val="center"/>
          </w:tcPr>
          <w:p w:rsidR="00672DA8" w:rsidRPr="00FC5BB6" w:rsidRDefault="00672DA8" w:rsidP="00D5162C">
            <w:pPr>
              <w:spacing w:line="276" w:lineRule="auto"/>
              <w:jc w:val="right"/>
              <w:rPr>
                <w:szCs w:val="28"/>
              </w:rPr>
            </w:pPr>
            <w:r w:rsidRPr="00FC5BB6">
              <w:rPr>
                <w:color w:val="000000"/>
              </w:rPr>
              <w:t>20 000</w:t>
            </w:r>
          </w:p>
        </w:tc>
        <w:tc>
          <w:tcPr>
            <w:tcW w:w="1559" w:type="dxa"/>
            <w:vAlign w:val="center"/>
          </w:tcPr>
          <w:p w:rsidR="00672DA8" w:rsidRPr="00FC5BB6" w:rsidRDefault="00672DA8" w:rsidP="00D5162C">
            <w:pPr>
              <w:spacing w:line="276" w:lineRule="auto"/>
              <w:jc w:val="right"/>
              <w:rPr>
                <w:szCs w:val="28"/>
              </w:rPr>
            </w:pPr>
            <w:r w:rsidRPr="00FC5BB6">
              <w:rPr>
                <w:color w:val="000000"/>
              </w:rPr>
              <w:t>25 000</w:t>
            </w:r>
          </w:p>
        </w:tc>
        <w:tc>
          <w:tcPr>
            <w:tcW w:w="1559" w:type="dxa"/>
            <w:vAlign w:val="center"/>
          </w:tcPr>
          <w:p w:rsidR="00672DA8" w:rsidRPr="00FC5BB6" w:rsidRDefault="00672DA8" w:rsidP="00D5162C">
            <w:pPr>
              <w:spacing w:line="276" w:lineRule="auto"/>
              <w:jc w:val="right"/>
              <w:rPr>
                <w:szCs w:val="28"/>
              </w:rPr>
            </w:pPr>
            <w:r w:rsidRPr="00FC5BB6">
              <w:rPr>
                <w:color w:val="000000"/>
              </w:rPr>
              <w:t>30 000</w:t>
            </w:r>
          </w:p>
        </w:tc>
        <w:tc>
          <w:tcPr>
            <w:tcW w:w="2403" w:type="dxa"/>
            <w:vAlign w:val="center"/>
          </w:tcPr>
          <w:p w:rsidR="00672DA8" w:rsidRPr="00FC5BB6" w:rsidRDefault="00672DA8" w:rsidP="00D5162C">
            <w:pPr>
              <w:spacing w:line="276" w:lineRule="auto"/>
              <w:jc w:val="right"/>
            </w:pPr>
            <w:r w:rsidRPr="00FC5BB6">
              <w:rPr>
                <w:szCs w:val="28"/>
              </w:rPr>
              <w:t>75</w:t>
            </w:r>
            <w:r w:rsidRPr="00FC5BB6">
              <w:t xml:space="preserve"> 000</w:t>
            </w:r>
          </w:p>
        </w:tc>
      </w:tr>
      <w:tr w:rsidR="00672DA8" w:rsidRPr="00FC5BB6" w:rsidTr="00D5162C">
        <w:tc>
          <w:tcPr>
            <w:tcW w:w="2830" w:type="dxa"/>
          </w:tcPr>
          <w:p w:rsidR="00672DA8" w:rsidRPr="00FC5BB6" w:rsidRDefault="00672DA8" w:rsidP="00B706E0">
            <w:pPr>
              <w:spacing w:line="276" w:lineRule="auto"/>
              <w:rPr>
                <w:szCs w:val="28"/>
              </w:rPr>
            </w:pPr>
            <w:r w:rsidRPr="00FC5BB6">
              <w:rPr>
                <w:szCs w:val="28"/>
              </w:rPr>
              <w:t>культура та інформація</w:t>
            </w:r>
          </w:p>
        </w:tc>
        <w:tc>
          <w:tcPr>
            <w:tcW w:w="1560" w:type="dxa"/>
            <w:vAlign w:val="center"/>
          </w:tcPr>
          <w:p w:rsidR="00672DA8" w:rsidRPr="00FC5BB6" w:rsidRDefault="00672DA8" w:rsidP="00D5162C">
            <w:pPr>
              <w:spacing w:line="276" w:lineRule="auto"/>
              <w:jc w:val="right"/>
              <w:rPr>
                <w:szCs w:val="28"/>
              </w:rPr>
            </w:pPr>
            <w:r w:rsidRPr="00FC5BB6">
              <w:rPr>
                <w:color w:val="000000"/>
              </w:rPr>
              <w:t>20 000</w:t>
            </w:r>
          </w:p>
        </w:tc>
        <w:tc>
          <w:tcPr>
            <w:tcW w:w="1559" w:type="dxa"/>
            <w:vAlign w:val="center"/>
          </w:tcPr>
          <w:p w:rsidR="00672DA8" w:rsidRPr="00FC5BB6" w:rsidRDefault="00672DA8" w:rsidP="00D5162C">
            <w:pPr>
              <w:spacing w:line="276" w:lineRule="auto"/>
              <w:jc w:val="right"/>
              <w:rPr>
                <w:szCs w:val="28"/>
              </w:rPr>
            </w:pPr>
            <w:r w:rsidRPr="00FC5BB6">
              <w:rPr>
                <w:color w:val="000000"/>
              </w:rPr>
              <w:t>25 000</w:t>
            </w:r>
          </w:p>
        </w:tc>
        <w:tc>
          <w:tcPr>
            <w:tcW w:w="1559" w:type="dxa"/>
            <w:vAlign w:val="center"/>
          </w:tcPr>
          <w:p w:rsidR="00672DA8" w:rsidRPr="00FC5BB6" w:rsidRDefault="00672DA8" w:rsidP="00D5162C">
            <w:pPr>
              <w:spacing w:line="276" w:lineRule="auto"/>
              <w:jc w:val="right"/>
              <w:rPr>
                <w:szCs w:val="28"/>
              </w:rPr>
            </w:pPr>
            <w:r w:rsidRPr="00FC5BB6">
              <w:rPr>
                <w:color w:val="000000"/>
              </w:rPr>
              <w:t>30 000</w:t>
            </w:r>
          </w:p>
        </w:tc>
        <w:tc>
          <w:tcPr>
            <w:tcW w:w="2403" w:type="dxa"/>
            <w:vAlign w:val="center"/>
          </w:tcPr>
          <w:p w:rsidR="00672DA8" w:rsidRPr="00FC5BB6" w:rsidRDefault="00672DA8" w:rsidP="00D5162C">
            <w:pPr>
              <w:spacing w:line="276" w:lineRule="auto"/>
              <w:jc w:val="right"/>
              <w:rPr>
                <w:szCs w:val="28"/>
              </w:rPr>
            </w:pPr>
            <w:r w:rsidRPr="00FC5BB6">
              <w:rPr>
                <w:szCs w:val="28"/>
              </w:rPr>
              <w:t>75</w:t>
            </w:r>
            <w:r w:rsidRPr="00FC5BB6">
              <w:t xml:space="preserve"> 000</w:t>
            </w:r>
          </w:p>
        </w:tc>
      </w:tr>
      <w:tr w:rsidR="00672DA8" w:rsidRPr="00FC5BB6" w:rsidTr="00D5162C">
        <w:tc>
          <w:tcPr>
            <w:tcW w:w="2830" w:type="dxa"/>
          </w:tcPr>
          <w:p w:rsidR="00672DA8" w:rsidRPr="00FC5BB6" w:rsidRDefault="00672DA8" w:rsidP="008E104F">
            <w:pPr>
              <w:spacing w:line="276" w:lineRule="auto"/>
              <w:rPr>
                <w:b/>
                <w:bCs/>
                <w:szCs w:val="28"/>
              </w:rPr>
            </w:pPr>
            <w:r w:rsidRPr="00FC5BB6">
              <w:rPr>
                <w:b/>
                <w:bCs/>
                <w:szCs w:val="28"/>
              </w:rPr>
              <w:t>Загалом</w:t>
            </w:r>
          </w:p>
        </w:tc>
        <w:tc>
          <w:tcPr>
            <w:tcW w:w="1560" w:type="dxa"/>
            <w:vAlign w:val="center"/>
          </w:tcPr>
          <w:p w:rsidR="00672DA8" w:rsidRPr="00FC5BB6" w:rsidRDefault="00672DA8" w:rsidP="00D5162C">
            <w:pPr>
              <w:spacing w:line="276" w:lineRule="auto"/>
              <w:jc w:val="right"/>
              <w:rPr>
                <w:b/>
                <w:bCs/>
                <w:szCs w:val="28"/>
              </w:rPr>
            </w:pPr>
            <w:r w:rsidRPr="00FC5BB6">
              <w:rPr>
                <w:b/>
                <w:bCs/>
                <w:szCs w:val="28"/>
              </w:rPr>
              <w:t>1500000</w:t>
            </w:r>
          </w:p>
        </w:tc>
        <w:tc>
          <w:tcPr>
            <w:tcW w:w="1559" w:type="dxa"/>
            <w:vAlign w:val="center"/>
          </w:tcPr>
          <w:p w:rsidR="00672DA8" w:rsidRPr="00FC5BB6" w:rsidRDefault="00672DA8" w:rsidP="00D5162C">
            <w:pPr>
              <w:spacing w:line="276" w:lineRule="auto"/>
              <w:jc w:val="right"/>
              <w:rPr>
                <w:b/>
                <w:bCs/>
                <w:szCs w:val="28"/>
              </w:rPr>
            </w:pPr>
            <w:r w:rsidRPr="00FC5BB6">
              <w:rPr>
                <w:b/>
                <w:bCs/>
                <w:szCs w:val="28"/>
              </w:rPr>
              <w:t>1 650 000</w:t>
            </w:r>
          </w:p>
        </w:tc>
        <w:tc>
          <w:tcPr>
            <w:tcW w:w="1559" w:type="dxa"/>
            <w:vAlign w:val="center"/>
          </w:tcPr>
          <w:p w:rsidR="00672DA8" w:rsidRPr="00FC5BB6" w:rsidRDefault="00672DA8" w:rsidP="00D5162C">
            <w:pPr>
              <w:spacing w:line="276" w:lineRule="auto"/>
              <w:jc w:val="right"/>
              <w:rPr>
                <w:b/>
                <w:bCs/>
                <w:szCs w:val="28"/>
              </w:rPr>
            </w:pPr>
            <w:r w:rsidRPr="00FC5BB6">
              <w:rPr>
                <w:b/>
                <w:bCs/>
                <w:szCs w:val="28"/>
              </w:rPr>
              <w:t>1 740 000</w:t>
            </w:r>
          </w:p>
        </w:tc>
        <w:tc>
          <w:tcPr>
            <w:tcW w:w="2403" w:type="dxa"/>
            <w:vAlign w:val="center"/>
          </w:tcPr>
          <w:p w:rsidR="00672DA8" w:rsidRPr="00FC5BB6" w:rsidRDefault="00672DA8" w:rsidP="00D5162C">
            <w:pPr>
              <w:spacing w:line="276" w:lineRule="auto"/>
              <w:jc w:val="right"/>
              <w:rPr>
                <w:b/>
                <w:bCs/>
                <w:szCs w:val="28"/>
              </w:rPr>
            </w:pPr>
            <w:r w:rsidRPr="00FC5BB6">
              <w:rPr>
                <w:b/>
                <w:bCs/>
                <w:szCs w:val="28"/>
              </w:rPr>
              <w:t>4 890 000</w:t>
            </w:r>
          </w:p>
        </w:tc>
      </w:tr>
    </w:tbl>
    <w:p w:rsidR="00672DA8" w:rsidRPr="00D17334" w:rsidRDefault="00672DA8" w:rsidP="000F67F9">
      <w:pPr>
        <w:ind w:firstLine="567"/>
        <w:rPr>
          <w:szCs w:val="28"/>
        </w:rPr>
      </w:pPr>
    </w:p>
    <w:p w:rsidR="00672DA8" w:rsidRPr="00D17334" w:rsidRDefault="00672DA8" w:rsidP="000F67F9">
      <w:pPr>
        <w:jc w:val="center"/>
        <w:rPr>
          <w:b/>
          <w:szCs w:val="28"/>
        </w:rPr>
      </w:pPr>
      <w:r w:rsidRPr="00D17334">
        <w:rPr>
          <w:b/>
          <w:szCs w:val="28"/>
        </w:rPr>
        <w:t>VІI. ПІДСУМКИ ТА ПЕРСПЕКТИВИ</w:t>
      </w:r>
    </w:p>
    <w:p w:rsidR="00672DA8" w:rsidRPr="00D17334" w:rsidRDefault="00672DA8" w:rsidP="000F67F9">
      <w:pPr>
        <w:rPr>
          <w:szCs w:val="28"/>
        </w:rPr>
      </w:pPr>
    </w:p>
    <w:p w:rsidR="00672DA8" w:rsidRPr="00D17334" w:rsidRDefault="00672DA8" w:rsidP="000F67F9">
      <w:pPr>
        <w:ind w:firstLine="567"/>
        <w:rPr>
          <w:szCs w:val="28"/>
        </w:rPr>
      </w:pPr>
      <w:r w:rsidRPr="00D17334">
        <w:rPr>
          <w:szCs w:val="28"/>
        </w:rPr>
        <w:t>Середньостроковий план є документом, що формує основу для якісно нового підходу до управління публічними інвестиціями в Лозівській міській територіальній громаді.</w:t>
      </w:r>
    </w:p>
    <w:p w:rsidR="00672DA8" w:rsidRPr="00D17334" w:rsidRDefault="00672DA8" w:rsidP="000F67F9">
      <w:pPr>
        <w:ind w:firstLine="567"/>
        <w:rPr>
          <w:szCs w:val="28"/>
        </w:rPr>
      </w:pPr>
      <w:r w:rsidRPr="00D17334">
        <w:rPr>
          <w:szCs w:val="28"/>
        </w:rPr>
        <w:t>Визначення наскрізних стратегічних цілей, узгодження з наявними стратегічними документами, продовження та завершення розпочатих проєктів,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w:t>
      </w:r>
    </w:p>
    <w:p w:rsidR="00672DA8" w:rsidRPr="00D17334" w:rsidRDefault="00672DA8" w:rsidP="000F67F9">
      <w:pPr>
        <w:ind w:firstLine="567"/>
        <w:rPr>
          <w:szCs w:val="28"/>
        </w:rPr>
      </w:pPr>
      <w:r w:rsidRPr="00D17334">
        <w:rPr>
          <w:szCs w:val="28"/>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Лозівської міської територіальної громади.</w:t>
      </w:r>
    </w:p>
    <w:p w:rsidR="00672DA8" w:rsidRPr="00D17334" w:rsidRDefault="00672DA8" w:rsidP="000F67F9">
      <w:pPr>
        <w:ind w:firstLine="567"/>
        <w:rPr>
          <w:szCs w:val="28"/>
        </w:rPr>
      </w:pPr>
      <w:r w:rsidRPr="00D17334">
        <w:rPr>
          <w:szCs w:val="28"/>
        </w:rPr>
        <w:t>Підготовка проектів передбачає обов’язкове визначення напряму публічного інвестування у відповідній галузі (секторі), з яким пов’язаний проект, а також узгодження мети та цілей проекту з таким напрямом.</w:t>
      </w:r>
    </w:p>
    <w:p w:rsidR="00672DA8" w:rsidRPr="00D17334" w:rsidRDefault="00672DA8" w:rsidP="000F67F9">
      <w:pPr>
        <w:ind w:firstLine="567"/>
        <w:rPr>
          <w:szCs w:val="28"/>
        </w:rPr>
      </w:pPr>
      <w:r w:rsidRPr="00D17334">
        <w:rPr>
          <w:szCs w:val="28"/>
        </w:rPr>
        <w:t>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672DA8" w:rsidRPr="00D17334" w:rsidRDefault="00672DA8" w:rsidP="000F67F9">
      <w:pPr>
        <w:ind w:firstLine="567"/>
        <w:rPr>
          <w:szCs w:val="28"/>
        </w:rPr>
      </w:pPr>
      <w:r w:rsidRPr="00D17334">
        <w:rPr>
          <w:szCs w:val="28"/>
        </w:rPr>
        <w:t xml:space="preserve">Без визначення напрямів для публічного інвестування неможлива пріоритезація проектів, які включені до галузевого (секторального) проектного портфеля. </w:t>
      </w:r>
    </w:p>
    <w:p w:rsidR="00672DA8" w:rsidRPr="00D17334" w:rsidRDefault="00672DA8" w:rsidP="000F67F9">
      <w:pPr>
        <w:ind w:firstLine="567"/>
        <w:rPr>
          <w:szCs w:val="28"/>
        </w:rPr>
      </w:pPr>
      <w:r w:rsidRPr="00D17334">
        <w:rPr>
          <w:szCs w:val="28"/>
        </w:rPr>
        <w:t>У подальшому проекти,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включаються в Єдиний проектний портфель публічних інвестицій громади та, відповідно, знаходяться в пріоритеті на фінансування за рахунок коштів бюджету Лозівської  міської територіальної громади.</w:t>
      </w:r>
    </w:p>
    <w:p w:rsidR="00672DA8" w:rsidRDefault="00672DA8" w:rsidP="00D5162C">
      <w:pPr>
        <w:rPr>
          <w:sz w:val="24"/>
          <w:szCs w:val="24"/>
        </w:rPr>
      </w:pPr>
    </w:p>
    <w:p w:rsidR="00672DA8" w:rsidRDefault="00672DA8" w:rsidP="00D5162C">
      <w:pPr>
        <w:rPr>
          <w:sz w:val="24"/>
          <w:szCs w:val="24"/>
        </w:rPr>
      </w:pPr>
    </w:p>
    <w:p w:rsidR="00672DA8" w:rsidRPr="00F52D7E" w:rsidRDefault="00672DA8" w:rsidP="003802B3">
      <w:pPr>
        <w:shd w:val="clear" w:color="auto" w:fill="FFFFFF"/>
        <w:rPr>
          <w:b/>
          <w:bCs/>
          <w:color w:val="1B1D1F"/>
          <w:szCs w:val="28"/>
          <w:lang w:eastAsia="ru-RU"/>
        </w:rPr>
      </w:pPr>
      <w:r w:rsidRPr="00F52D7E">
        <w:rPr>
          <w:b/>
          <w:bCs/>
          <w:color w:val="1B1D1F"/>
          <w:szCs w:val="28"/>
          <w:lang w:eastAsia="ru-RU"/>
        </w:rPr>
        <w:t>Керуючий справами</w:t>
      </w:r>
    </w:p>
    <w:p w:rsidR="00672DA8" w:rsidRDefault="00672DA8" w:rsidP="003802B3">
      <w:pPr>
        <w:tabs>
          <w:tab w:val="left" w:pos="7230"/>
        </w:tabs>
        <w:rPr>
          <w:b/>
          <w:bCs/>
          <w:color w:val="1B1D1F"/>
          <w:szCs w:val="28"/>
          <w:lang w:eastAsia="ru-RU"/>
        </w:rPr>
      </w:pPr>
      <w:r w:rsidRPr="00F52D7E">
        <w:rPr>
          <w:b/>
          <w:bCs/>
          <w:color w:val="1B1D1F"/>
          <w:szCs w:val="28"/>
          <w:lang w:eastAsia="ru-RU"/>
        </w:rPr>
        <w:t>виконавчого комітету міської ради</w:t>
      </w:r>
      <w:r w:rsidRPr="00F52D7E">
        <w:rPr>
          <w:b/>
          <w:bCs/>
          <w:color w:val="1B1D1F"/>
          <w:szCs w:val="28"/>
          <w:lang w:eastAsia="ru-RU"/>
        </w:rPr>
        <w:tab/>
        <w:t>Тетяна Запорожець</w:t>
      </w:r>
    </w:p>
    <w:p w:rsidR="00672DA8" w:rsidRDefault="00672DA8" w:rsidP="003802B3">
      <w:pPr>
        <w:tabs>
          <w:tab w:val="left" w:pos="7230"/>
        </w:tabs>
        <w:rPr>
          <w:b/>
          <w:bCs/>
          <w:color w:val="1B1D1F"/>
          <w:szCs w:val="28"/>
          <w:lang w:eastAsia="ru-RU"/>
        </w:rPr>
      </w:pPr>
    </w:p>
    <w:p w:rsidR="00672DA8" w:rsidRDefault="00672DA8" w:rsidP="003802B3">
      <w:pPr>
        <w:tabs>
          <w:tab w:val="left" w:pos="7230"/>
        </w:tabs>
        <w:rPr>
          <w:b/>
          <w:bCs/>
          <w:color w:val="1B1D1F"/>
          <w:szCs w:val="28"/>
          <w:lang w:eastAsia="ru-RU"/>
        </w:rPr>
      </w:pPr>
    </w:p>
    <w:p w:rsidR="00672DA8" w:rsidRPr="00A8310B" w:rsidRDefault="00672DA8" w:rsidP="00D741E0">
      <w:pPr>
        <w:spacing w:line="276" w:lineRule="auto"/>
        <w:rPr>
          <w:sz w:val="24"/>
          <w:szCs w:val="24"/>
        </w:rPr>
      </w:pPr>
      <w:r w:rsidRPr="00A8310B">
        <w:rPr>
          <w:sz w:val="24"/>
          <w:szCs w:val="24"/>
        </w:rPr>
        <w:t xml:space="preserve">Сергій Гранкін, </w:t>
      </w:r>
      <w:r>
        <w:rPr>
          <w:sz w:val="24"/>
          <w:szCs w:val="24"/>
        </w:rPr>
        <w:t>(05745) 2-56-15</w:t>
      </w:r>
    </w:p>
    <w:p w:rsidR="00672DA8" w:rsidRPr="00115027" w:rsidRDefault="00672DA8" w:rsidP="003802B3">
      <w:pPr>
        <w:tabs>
          <w:tab w:val="left" w:pos="7230"/>
        </w:tabs>
        <w:rPr>
          <w:sz w:val="24"/>
          <w:szCs w:val="24"/>
        </w:rPr>
      </w:pPr>
    </w:p>
    <w:sectPr w:rsidR="00672DA8" w:rsidRPr="00115027" w:rsidSect="00D17334">
      <w:pgSz w:w="11906" w:h="16838"/>
      <w:pgMar w:top="567" w:right="567" w:bottom="567"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768C"/>
    <w:multiLevelType w:val="multilevel"/>
    <w:tmpl w:val="A4861962"/>
    <w:lvl w:ilvl="0">
      <w:start w:val="1"/>
      <w:numFmt w:val="decimal"/>
      <w:lvlText w:val="%1)"/>
      <w:lvlJc w:val="left"/>
      <w:pPr>
        <w:ind w:left="720" w:hanging="360"/>
      </w:pPr>
      <w:rPr>
        <w:rFonts w:ascii="Times New Roman" w:eastAsia="Times New Roman" w:hAnsi="Times New Roman" w:cs="Times New Roman"/>
        <w:b w:val="0"/>
        <w:sz w:val="20"/>
        <w:szCs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
    <w:nsid w:val="11702184"/>
    <w:multiLevelType w:val="multilevel"/>
    <w:tmpl w:val="A4861962"/>
    <w:lvl w:ilvl="0">
      <w:start w:val="1"/>
      <w:numFmt w:val="decimal"/>
      <w:lvlText w:val="%1)"/>
      <w:lvlJc w:val="left"/>
      <w:pPr>
        <w:ind w:left="720" w:hanging="360"/>
      </w:pPr>
      <w:rPr>
        <w:rFonts w:ascii="Times New Roman" w:eastAsia="Times New Roman" w:hAnsi="Times New Roman" w:cs="Times New Roman"/>
        <w:b w:val="0"/>
        <w:sz w:val="20"/>
        <w:szCs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nsid w:val="600C7489"/>
    <w:multiLevelType w:val="hybridMultilevel"/>
    <w:tmpl w:val="F8F69E9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B39"/>
    <w:rsid w:val="000363C5"/>
    <w:rsid w:val="000514E0"/>
    <w:rsid w:val="000B75DE"/>
    <w:rsid w:val="000F67F9"/>
    <w:rsid w:val="00115027"/>
    <w:rsid w:val="00131CE3"/>
    <w:rsid w:val="00165735"/>
    <w:rsid w:val="00193610"/>
    <w:rsid w:val="001A57CF"/>
    <w:rsid w:val="001B0B39"/>
    <w:rsid w:val="001F4C7C"/>
    <w:rsid w:val="002308A6"/>
    <w:rsid w:val="00234AF9"/>
    <w:rsid w:val="002712B3"/>
    <w:rsid w:val="00285D97"/>
    <w:rsid w:val="0034374C"/>
    <w:rsid w:val="003802B3"/>
    <w:rsid w:val="003B2BED"/>
    <w:rsid w:val="003B4A53"/>
    <w:rsid w:val="004351A6"/>
    <w:rsid w:val="004444E5"/>
    <w:rsid w:val="00496784"/>
    <w:rsid w:val="004A4C80"/>
    <w:rsid w:val="004C5F75"/>
    <w:rsid w:val="00500BB2"/>
    <w:rsid w:val="00512A48"/>
    <w:rsid w:val="00517502"/>
    <w:rsid w:val="005E6054"/>
    <w:rsid w:val="0062758A"/>
    <w:rsid w:val="00654A89"/>
    <w:rsid w:val="00672DA8"/>
    <w:rsid w:val="006828ED"/>
    <w:rsid w:val="006B0836"/>
    <w:rsid w:val="00704D61"/>
    <w:rsid w:val="00733CEB"/>
    <w:rsid w:val="00792EF6"/>
    <w:rsid w:val="007F4209"/>
    <w:rsid w:val="007F5470"/>
    <w:rsid w:val="00856546"/>
    <w:rsid w:val="00880B46"/>
    <w:rsid w:val="008E104F"/>
    <w:rsid w:val="008E2184"/>
    <w:rsid w:val="009E3697"/>
    <w:rsid w:val="00A62E22"/>
    <w:rsid w:val="00A8310B"/>
    <w:rsid w:val="00A95773"/>
    <w:rsid w:val="00AA5088"/>
    <w:rsid w:val="00AB2625"/>
    <w:rsid w:val="00B706E0"/>
    <w:rsid w:val="00BD540D"/>
    <w:rsid w:val="00C655D5"/>
    <w:rsid w:val="00C86FA1"/>
    <w:rsid w:val="00CF4B58"/>
    <w:rsid w:val="00D17334"/>
    <w:rsid w:val="00D5162C"/>
    <w:rsid w:val="00D741E0"/>
    <w:rsid w:val="00DC0539"/>
    <w:rsid w:val="00DE469C"/>
    <w:rsid w:val="00E22E5A"/>
    <w:rsid w:val="00E260AB"/>
    <w:rsid w:val="00E83FC3"/>
    <w:rsid w:val="00E87E67"/>
    <w:rsid w:val="00E908D9"/>
    <w:rsid w:val="00EA1971"/>
    <w:rsid w:val="00EF74EF"/>
    <w:rsid w:val="00F52D7E"/>
    <w:rsid w:val="00F67729"/>
    <w:rsid w:val="00F711F8"/>
    <w:rsid w:val="00F738B9"/>
    <w:rsid w:val="00F8428A"/>
    <w:rsid w:val="00FC5B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C0539"/>
    <w:pPr>
      <w:jc w:val="both"/>
    </w:pPr>
    <w:rPr>
      <w:kern w:val="2"/>
      <w:sz w:val="28"/>
      <w:lang w:val="uk-UA"/>
    </w:rPr>
  </w:style>
  <w:style w:type="paragraph" w:styleId="Heading1">
    <w:name w:val="heading 1"/>
    <w:basedOn w:val="Normal"/>
    <w:next w:val="Normal"/>
    <w:link w:val="Heading1Char"/>
    <w:uiPriority w:val="99"/>
    <w:qFormat/>
    <w:rsid w:val="001B0B39"/>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1B0B39"/>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1B0B39"/>
    <w:pPr>
      <w:keepNext/>
      <w:keepLines/>
      <w:spacing w:before="160" w:after="80"/>
      <w:outlineLvl w:val="2"/>
    </w:pPr>
    <w:rPr>
      <w:rFonts w:ascii="Calibri" w:eastAsia="Times New Roman" w:hAnsi="Calibri"/>
      <w:color w:val="2F5496"/>
      <w:szCs w:val="28"/>
    </w:rPr>
  </w:style>
  <w:style w:type="paragraph" w:styleId="Heading4">
    <w:name w:val="heading 4"/>
    <w:basedOn w:val="Normal"/>
    <w:next w:val="Normal"/>
    <w:link w:val="Heading4Char"/>
    <w:uiPriority w:val="99"/>
    <w:qFormat/>
    <w:rsid w:val="001B0B39"/>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1B0B39"/>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1B0B39"/>
    <w:pPr>
      <w:keepNext/>
      <w:keepLines/>
      <w:spacing w:before="4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1B0B39"/>
    <w:pPr>
      <w:keepNext/>
      <w:keepLines/>
      <w:spacing w:before="4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1B0B39"/>
    <w:pPr>
      <w:keepNext/>
      <w:keepLines/>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1B0B39"/>
    <w:pPr>
      <w:keepNext/>
      <w:keepLines/>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0B39"/>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1B0B39"/>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1B0B39"/>
    <w:rPr>
      <w:rFonts w:ascii="Calibri" w:hAnsi="Calibri" w:cs="Times New Roman"/>
      <w:color w:val="2F5496"/>
      <w:sz w:val="28"/>
      <w:szCs w:val="28"/>
    </w:rPr>
  </w:style>
  <w:style w:type="character" w:customStyle="1" w:styleId="Heading4Char">
    <w:name w:val="Heading 4 Char"/>
    <w:basedOn w:val="DefaultParagraphFont"/>
    <w:link w:val="Heading4"/>
    <w:uiPriority w:val="99"/>
    <w:semiHidden/>
    <w:locked/>
    <w:rsid w:val="001B0B39"/>
    <w:rPr>
      <w:rFonts w:ascii="Calibri" w:hAnsi="Calibri" w:cs="Times New Roman"/>
      <w:i/>
      <w:iCs/>
      <w:color w:val="2F5496"/>
    </w:rPr>
  </w:style>
  <w:style w:type="character" w:customStyle="1" w:styleId="Heading5Char">
    <w:name w:val="Heading 5 Char"/>
    <w:basedOn w:val="DefaultParagraphFont"/>
    <w:link w:val="Heading5"/>
    <w:uiPriority w:val="99"/>
    <w:semiHidden/>
    <w:locked/>
    <w:rsid w:val="001B0B39"/>
    <w:rPr>
      <w:rFonts w:ascii="Calibri" w:hAnsi="Calibri" w:cs="Times New Roman"/>
      <w:color w:val="2F5496"/>
    </w:rPr>
  </w:style>
  <w:style w:type="character" w:customStyle="1" w:styleId="Heading6Char">
    <w:name w:val="Heading 6 Char"/>
    <w:basedOn w:val="DefaultParagraphFont"/>
    <w:link w:val="Heading6"/>
    <w:uiPriority w:val="99"/>
    <w:semiHidden/>
    <w:locked/>
    <w:rsid w:val="001B0B39"/>
    <w:rPr>
      <w:rFonts w:ascii="Calibri" w:hAnsi="Calibri" w:cs="Times New Roman"/>
      <w:i/>
      <w:iCs/>
      <w:color w:val="595959"/>
    </w:rPr>
  </w:style>
  <w:style w:type="character" w:customStyle="1" w:styleId="Heading7Char">
    <w:name w:val="Heading 7 Char"/>
    <w:basedOn w:val="DefaultParagraphFont"/>
    <w:link w:val="Heading7"/>
    <w:uiPriority w:val="99"/>
    <w:semiHidden/>
    <w:locked/>
    <w:rsid w:val="001B0B39"/>
    <w:rPr>
      <w:rFonts w:ascii="Calibri" w:hAnsi="Calibri" w:cs="Times New Roman"/>
      <w:color w:val="595959"/>
    </w:rPr>
  </w:style>
  <w:style w:type="character" w:customStyle="1" w:styleId="Heading8Char">
    <w:name w:val="Heading 8 Char"/>
    <w:basedOn w:val="DefaultParagraphFont"/>
    <w:link w:val="Heading8"/>
    <w:uiPriority w:val="99"/>
    <w:semiHidden/>
    <w:locked/>
    <w:rsid w:val="001B0B39"/>
    <w:rPr>
      <w:rFonts w:ascii="Calibri" w:hAnsi="Calibri" w:cs="Times New Roman"/>
      <w:i/>
      <w:iCs/>
      <w:color w:val="272727"/>
    </w:rPr>
  </w:style>
  <w:style w:type="character" w:customStyle="1" w:styleId="Heading9Char">
    <w:name w:val="Heading 9 Char"/>
    <w:basedOn w:val="DefaultParagraphFont"/>
    <w:link w:val="Heading9"/>
    <w:uiPriority w:val="99"/>
    <w:semiHidden/>
    <w:locked/>
    <w:rsid w:val="001B0B39"/>
    <w:rPr>
      <w:rFonts w:ascii="Calibri" w:hAnsi="Calibri" w:cs="Times New Roman"/>
      <w:color w:val="272727"/>
    </w:rPr>
  </w:style>
  <w:style w:type="paragraph" w:styleId="Title">
    <w:name w:val="Title"/>
    <w:basedOn w:val="Normal"/>
    <w:next w:val="Normal"/>
    <w:link w:val="TitleChar"/>
    <w:uiPriority w:val="99"/>
    <w:qFormat/>
    <w:rsid w:val="001B0B39"/>
    <w:pPr>
      <w:spacing w:after="80"/>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1B0B39"/>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1B0B39"/>
    <w:pPr>
      <w:numPr>
        <w:ilvl w:val="1"/>
      </w:numPr>
      <w:spacing w:after="160"/>
    </w:pPr>
    <w:rPr>
      <w:rFonts w:ascii="Calibri" w:eastAsia="Times New Roman" w:hAnsi="Calibri"/>
      <w:color w:val="595959"/>
      <w:spacing w:val="15"/>
      <w:szCs w:val="28"/>
    </w:rPr>
  </w:style>
  <w:style w:type="character" w:customStyle="1" w:styleId="SubtitleChar">
    <w:name w:val="Subtitle Char"/>
    <w:basedOn w:val="DefaultParagraphFont"/>
    <w:link w:val="Subtitle"/>
    <w:uiPriority w:val="99"/>
    <w:locked/>
    <w:rsid w:val="001B0B39"/>
    <w:rPr>
      <w:rFonts w:ascii="Calibri" w:hAnsi="Calibri" w:cs="Times New Roman"/>
      <w:color w:val="595959"/>
      <w:spacing w:val="15"/>
      <w:sz w:val="28"/>
      <w:szCs w:val="28"/>
    </w:rPr>
  </w:style>
  <w:style w:type="paragraph" w:styleId="Quote">
    <w:name w:val="Quote"/>
    <w:basedOn w:val="Normal"/>
    <w:next w:val="Normal"/>
    <w:link w:val="QuoteChar"/>
    <w:uiPriority w:val="99"/>
    <w:qFormat/>
    <w:rsid w:val="001B0B39"/>
    <w:pPr>
      <w:spacing w:before="160" w:after="160"/>
      <w:jc w:val="center"/>
    </w:pPr>
    <w:rPr>
      <w:i/>
      <w:iCs/>
      <w:color w:val="404040"/>
    </w:rPr>
  </w:style>
  <w:style w:type="character" w:customStyle="1" w:styleId="QuoteChar">
    <w:name w:val="Quote Char"/>
    <w:basedOn w:val="DefaultParagraphFont"/>
    <w:link w:val="Quote"/>
    <w:uiPriority w:val="99"/>
    <w:locked/>
    <w:rsid w:val="001B0B39"/>
    <w:rPr>
      <w:rFonts w:cs="Times New Roman"/>
      <w:i/>
      <w:iCs/>
      <w:color w:val="404040"/>
    </w:rPr>
  </w:style>
  <w:style w:type="paragraph" w:styleId="ListParagraph">
    <w:name w:val="List Paragraph"/>
    <w:basedOn w:val="Normal"/>
    <w:uiPriority w:val="99"/>
    <w:qFormat/>
    <w:rsid w:val="001B0B39"/>
    <w:pPr>
      <w:ind w:left="720"/>
      <w:contextualSpacing/>
    </w:pPr>
  </w:style>
  <w:style w:type="character" w:styleId="IntenseEmphasis">
    <w:name w:val="Intense Emphasis"/>
    <w:basedOn w:val="DefaultParagraphFont"/>
    <w:uiPriority w:val="99"/>
    <w:qFormat/>
    <w:rsid w:val="001B0B39"/>
    <w:rPr>
      <w:rFonts w:cs="Times New Roman"/>
      <w:i/>
      <w:iCs/>
      <w:color w:val="2F5496"/>
    </w:rPr>
  </w:style>
  <w:style w:type="paragraph" w:styleId="IntenseQuote">
    <w:name w:val="Intense Quote"/>
    <w:basedOn w:val="Normal"/>
    <w:next w:val="Normal"/>
    <w:link w:val="IntenseQuoteChar"/>
    <w:uiPriority w:val="99"/>
    <w:qFormat/>
    <w:rsid w:val="001B0B39"/>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1B0B39"/>
    <w:rPr>
      <w:rFonts w:cs="Times New Roman"/>
      <w:i/>
      <w:iCs/>
      <w:color w:val="2F5496"/>
    </w:rPr>
  </w:style>
  <w:style w:type="character" w:styleId="IntenseReference">
    <w:name w:val="Intense Reference"/>
    <w:basedOn w:val="DefaultParagraphFont"/>
    <w:uiPriority w:val="99"/>
    <w:qFormat/>
    <w:rsid w:val="001B0B39"/>
    <w:rPr>
      <w:rFonts w:cs="Times New Roman"/>
      <w:b/>
      <w:bCs/>
      <w:smallCaps/>
      <w:color w:val="2F5496"/>
      <w:spacing w:val="5"/>
    </w:rPr>
  </w:style>
  <w:style w:type="paragraph" w:styleId="BodyText">
    <w:name w:val="Body Text"/>
    <w:basedOn w:val="Normal"/>
    <w:link w:val="BodyTextChar"/>
    <w:uiPriority w:val="99"/>
    <w:rsid w:val="00A95773"/>
    <w:pPr>
      <w:widowControl w:val="0"/>
      <w:autoSpaceDE w:val="0"/>
      <w:autoSpaceDN w:val="0"/>
      <w:jc w:val="left"/>
    </w:pPr>
    <w:rPr>
      <w:rFonts w:eastAsia="Times New Roman"/>
      <w:kern w:val="0"/>
      <w:szCs w:val="28"/>
    </w:rPr>
  </w:style>
  <w:style w:type="character" w:customStyle="1" w:styleId="BodyTextChar">
    <w:name w:val="Body Text Char"/>
    <w:basedOn w:val="DefaultParagraphFont"/>
    <w:link w:val="BodyText"/>
    <w:uiPriority w:val="99"/>
    <w:locked/>
    <w:rsid w:val="00A95773"/>
    <w:rPr>
      <w:rFonts w:eastAsia="Times New Roman" w:cs="Times New Roman"/>
      <w:kern w:val="0"/>
      <w:sz w:val="28"/>
      <w:szCs w:val="28"/>
    </w:rPr>
  </w:style>
  <w:style w:type="table" w:styleId="TableGrid">
    <w:name w:val="Table Grid"/>
    <w:basedOn w:val="TableNormal"/>
    <w:uiPriority w:val="99"/>
    <w:rsid w:val="00DE46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D540D"/>
    <w:pPr>
      <w:autoSpaceDE w:val="0"/>
      <w:autoSpaceDN w:val="0"/>
      <w:adjustRightInd w:val="0"/>
    </w:pPr>
    <w:rPr>
      <w:color w:val="000000"/>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380</TotalTime>
  <Pages>8</Pages>
  <Words>2588</Words>
  <Characters>14752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Лозівська міська рада</dc:creator>
  <cp:keywords/>
  <dc:description/>
  <cp:lastModifiedBy>User</cp:lastModifiedBy>
  <cp:revision>10</cp:revision>
  <dcterms:created xsi:type="dcterms:W3CDTF">2025-08-18T10:54:00Z</dcterms:created>
  <dcterms:modified xsi:type="dcterms:W3CDTF">2025-08-27T11:35:00Z</dcterms:modified>
</cp:coreProperties>
</file>